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417" w:rsidRPr="001C1417" w:rsidRDefault="001C1417" w:rsidP="001C1417">
      <w:pPr>
        <w:spacing w:before="48" w:after="84" w:line="240" w:lineRule="auto"/>
        <w:outlineLvl w:val="0"/>
        <w:rPr>
          <w:rFonts w:ascii="Helvetica" w:eastAsia="Times New Roman" w:hAnsi="Helvetica" w:cs="Times New Roman"/>
          <w:b/>
          <w:bCs/>
          <w:color w:val="333333"/>
          <w:kern w:val="36"/>
          <w:sz w:val="51"/>
          <w:szCs w:val="51"/>
        </w:rPr>
      </w:pPr>
      <w:bookmarkStart w:id="0" w:name="_GoBack"/>
      <w:r w:rsidRPr="001C1417">
        <w:rPr>
          <w:rFonts w:ascii="Helvetica" w:eastAsia="Times New Roman" w:hAnsi="Helvetica" w:cs="Times New Roman"/>
          <w:b/>
          <w:bCs/>
          <w:color w:val="333333"/>
          <w:kern w:val="36"/>
          <w:sz w:val="51"/>
          <w:szCs w:val="51"/>
        </w:rPr>
        <w:t xml:space="preserve">Orphanhood and Caregiver Loss </w:t>
      </w:r>
      <w:proofErr w:type="gramStart"/>
      <w:r w:rsidRPr="001C1417">
        <w:rPr>
          <w:rFonts w:ascii="Helvetica" w:eastAsia="Times New Roman" w:hAnsi="Helvetica" w:cs="Times New Roman"/>
          <w:b/>
          <w:bCs/>
          <w:color w:val="333333"/>
          <w:kern w:val="36"/>
          <w:sz w:val="51"/>
          <w:szCs w:val="51"/>
        </w:rPr>
        <w:t>Among</w:t>
      </w:r>
      <w:proofErr w:type="gramEnd"/>
      <w:r w:rsidRPr="001C1417">
        <w:rPr>
          <w:rFonts w:ascii="Helvetica" w:eastAsia="Times New Roman" w:hAnsi="Helvetica" w:cs="Times New Roman"/>
          <w:b/>
          <w:bCs/>
          <w:color w:val="333333"/>
          <w:kern w:val="36"/>
          <w:sz w:val="51"/>
          <w:szCs w:val="51"/>
        </w:rPr>
        <w:t xml:space="preserve"> Children Based on New Global Excess COVID-19 Death Estimates</w:t>
      </w:r>
      <w:bookmarkEnd w:id="0"/>
    </w:p>
    <w:p w:rsidR="00D31AA7" w:rsidRDefault="00D31AA7"/>
    <w:p w:rsidR="001C1417" w:rsidRDefault="001C1417">
      <w:pPr>
        <w:rPr>
          <w:rFonts w:ascii="Helvetica" w:hAnsi="Helvetica"/>
          <w:color w:val="333333"/>
          <w:sz w:val="29"/>
          <w:szCs w:val="29"/>
        </w:rPr>
      </w:pPr>
      <w:r>
        <w:rPr>
          <w:rFonts w:ascii="Helvetica" w:hAnsi="Helvetica"/>
          <w:color w:val="333333"/>
          <w:sz w:val="29"/>
          <w:szCs w:val="29"/>
        </w:rPr>
        <w:t>September 6, 2022</w:t>
      </w:r>
    </w:p>
    <w:p w:rsidR="001C1417" w:rsidRDefault="001C1417">
      <w:pPr>
        <w:rPr>
          <w:rFonts w:ascii="Helvetica" w:hAnsi="Helvetica"/>
          <w:color w:val="333333"/>
          <w:sz w:val="29"/>
          <w:szCs w:val="29"/>
        </w:rPr>
      </w:pPr>
      <w:r>
        <w:rPr>
          <w:rFonts w:ascii="Helvetica" w:hAnsi="Helvetica"/>
          <w:color w:val="333333"/>
          <w:sz w:val="29"/>
          <w:szCs w:val="29"/>
        </w:rPr>
        <w:t>JAMA</w:t>
      </w:r>
    </w:p>
    <w:p w:rsidR="001C1417" w:rsidRDefault="001C1417">
      <w:hyperlink r:id="rId5" w:history="1">
        <w:r w:rsidRPr="00C65D02">
          <w:rPr>
            <w:rStyle w:val="Hyperlink"/>
          </w:rPr>
          <w:t>https://jamanetwork.com/journals/jamapediatrics/fullarticle/2795650#pld220034t1</w:t>
        </w:r>
      </w:hyperlink>
    </w:p>
    <w:p w:rsidR="001C1417" w:rsidRDefault="001C1417"/>
    <w:p w:rsidR="001C1417" w:rsidRDefault="001C1417" w:rsidP="001C1417">
      <w:pPr>
        <w:rPr>
          <w:rFonts w:ascii="Helvetica" w:hAnsi="Helvetica"/>
          <w:color w:val="333333"/>
          <w:sz w:val="21"/>
          <w:szCs w:val="21"/>
        </w:rPr>
      </w:pPr>
      <w:hyperlink r:id="rId6" w:tgtFrame="_blank" w:history="1">
        <w:r>
          <w:rPr>
            <w:rStyle w:val="Hyperlink"/>
            <w:rFonts w:ascii="Helvetica" w:hAnsi="Helvetica"/>
            <w:color w:val="005276"/>
            <w:sz w:val="21"/>
            <w:szCs w:val="21"/>
          </w:rPr>
          <w:t>Susan Hillis, PhD</w:t>
        </w:r>
        <w:r>
          <w:rPr>
            <w:rStyle w:val="Hyperlink"/>
            <w:rFonts w:ascii="Helvetica" w:hAnsi="Helvetica"/>
            <w:color w:val="005276"/>
            <w:sz w:val="21"/>
            <w:szCs w:val="21"/>
            <w:vertAlign w:val="superscript"/>
          </w:rPr>
          <w:t>1</w:t>
        </w:r>
      </w:hyperlink>
      <w:r>
        <w:rPr>
          <w:rStyle w:val="al-author-delim"/>
          <w:rFonts w:ascii="Helvetica" w:hAnsi="Helvetica"/>
          <w:color w:val="333333"/>
          <w:sz w:val="21"/>
          <w:szCs w:val="21"/>
        </w:rPr>
        <w:t>; </w:t>
      </w:r>
      <w:hyperlink r:id="rId7" w:tgtFrame="_blank" w:history="1">
        <w:r>
          <w:rPr>
            <w:rStyle w:val="Hyperlink"/>
            <w:rFonts w:ascii="Helvetica" w:hAnsi="Helvetica"/>
            <w:color w:val="444444"/>
            <w:sz w:val="21"/>
            <w:szCs w:val="21"/>
          </w:rPr>
          <w:t>Joel-Pascal Ntwali N’konzi, MSc</w:t>
        </w:r>
        <w:r>
          <w:rPr>
            <w:rStyle w:val="Hyperlink"/>
            <w:rFonts w:ascii="Helvetica" w:hAnsi="Helvetica"/>
            <w:color w:val="444444"/>
            <w:sz w:val="21"/>
            <w:szCs w:val="21"/>
            <w:vertAlign w:val="superscript"/>
          </w:rPr>
          <w:t>2</w:t>
        </w:r>
      </w:hyperlink>
      <w:r>
        <w:rPr>
          <w:rStyle w:val="al-author-delim"/>
          <w:rFonts w:ascii="Helvetica" w:hAnsi="Helvetica"/>
          <w:color w:val="333333"/>
          <w:sz w:val="21"/>
          <w:szCs w:val="21"/>
        </w:rPr>
        <w:t>; </w:t>
      </w:r>
      <w:hyperlink r:id="rId8" w:tgtFrame="_blank" w:history="1">
        <w:r>
          <w:rPr>
            <w:rStyle w:val="Hyperlink"/>
            <w:rFonts w:ascii="Helvetica" w:hAnsi="Helvetica"/>
            <w:color w:val="444444"/>
            <w:sz w:val="21"/>
            <w:szCs w:val="21"/>
          </w:rPr>
          <w:t>William Msemburi, PhD</w:t>
        </w:r>
        <w:r>
          <w:rPr>
            <w:rStyle w:val="Hyperlink"/>
            <w:rFonts w:ascii="Helvetica" w:hAnsi="Helvetica"/>
            <w:color w:val="444444"/>
            <w:sz w:val="21"/>
            <w:szCs w:val="21"/>
            <w:vertAlign w:val="superscript"/>
          </w:rPr>
          <w:t>3</w:t>
        </w:r>
      </w:hyperlink>
      <w:r>
        <w:rPr>
          <w:rStyle w:val="meta-authors--limited"/>
          <w:rFonts w:ascii="Helvetica" w:hAnsi="Helvetica"/>
          <w:color w:val="333333"/>
          <w:sz w:val="21"/>
          <w:szCs w:val="21"/>
        </w:rPr>
        <w:t>; et al</w:t>
      </w:r>
      <w:hyperlink r:id="rId9" w:tgtFrame="_blank" w:history="1">
        <w:r>
          <w:rPr>
            <w:rStyle w:val="Hyperlink"/>
            <w:rFonts w:ascii="Helvetica" w:hAnsi="Helvetica"/>
            <w:color w:val="444444"/>
            <w:sz w:val="21"/>
            <w:szCs w:val="21"/>
            <w:bdr w:val="none" w:sz="0" w:space="0" w:color="auto" w:frame="1"/>
          </w:rPr>
          <w:t>Lucie Cluver, PhD</w:t>
        </w:r>
        <w:r>
          <w:rPr>
            <w:rStyle w:val="Hyperlink"/>
            <w:rFonts w:ascii="Helvetica" w:hAnsi="Helvetica"/>
            <w:color w:val="444444"/>
            <w:sz w:val="21"/>
            <w:szCs w:val="21"/>
            <w:bdr w:val="none" w:sz="0" w:space="0" w:color="auto" w:frame="1"/>
            <w:vertAlign w:val="superscript"/>
          </w:rPr>
          <w:t>4</w:t>
        </w:r>
      </w:hyperlink>
      <w:r>
        <w:rPr>
          <w:rStyle w:val="al-author-delim"/>
          <w:rFonts w:ascii="Helvetica" w:hAnsi="Helvetica"/>
          <w:color w:val="333333"/>
          <w:sz w:val="21"/>
          <w:szCs w:val="21"/>
          <w:bdr w:val="none" w:sz="0" w:space="0" w:color="auto" w:frame="1"/>
        </w:rPr>
        <w:t>; </w:t>
      </w:r>
      <w:hyperlink r:id="rId10" w:tgtFrame="_blank" w:history="1">
        <w:r>
          <w:rPr>
            <w:rStyle w:val="Hyperlink"/>
            <w:rFonts w:ascii="Helvetica" w:hAnsi="Helvetica"/>
            <w:color w:val="444444"/>
            <w:sz w:val="21"/>
            <w:szCs w:val="21"/>
            <w:bdr w:val="none" w:sz="0" w:space="0" w:color="auto" w:frame="1"/>
          </w:rPr>
          <w:t>Andrés Villaveces, MD, PhD</w:t>
        </w:r>
        <w:r>
          <w:rPr>
            <w:rStyle w:val="Hyperlink"/>
            <w:rFonts w:ascii="Helvetica" w:hAnsi="Helvetica"/>
            <w:color w:val="444444"/>
            <w:sz w:val="21"/>
            <w:szCs w:val="21"/>
            <w:bdr w:val="none" w:sz="0" w:space="0" w:color="auto" w:frame="1"/>
            <w:vertAlign w:val="superscript"/>
          </w:rPr>
          <w:t>5</w:t>
        </w:r>
      </w:hyperlink>
      <w:r>
        <w:rPr>
          <w:rStyle w:val="al-author-delim"/>
          <w:rFonts w:ascii="Helvetica" w:hAnsi="Helvetica"/>
          <w:color w:val="333333"/>
          <w:sz w:val="21"/>
          <w:szCs w:val="21"/>
          <w:bdr w:val="none" w:sz="0" w:space="0" w:color="auto" w:frame="1"/>
        </w:rPr>
        <w:t>; </w:t>
      </w:r>
      <w:hyperlink r:id="rId11" w:tgtFrame="_blank" w:history="1">
        <w:r>
          <w:rPr>
            <w:rStyle w:val="Hyperlink"/>
            <w:rFonts w:ascii="Helvetica" w:hAnsi="Helvetica"/>
            <w:color w:val="444444"/>
            <w:sz w:val="21"/>
            <w:szCs w:val="21"/>
            <w:bdr w:val="none" w:sz="0" w:space="0" w:color="auto" w:frame="1"/>
          </w:rPr>
          <w:t>Seth Flaxman, PhD</w:t>
        </w:r>
        <w:r>
          <w:rPr>
            <w:rStyle w:val="Hyperlink"/>
            <w:rFonts w:ascii="Helvetica" w:hAnsi="Helvetica"/>
            <w:color w:val="444444"/>
            <w:sz w:val="21"/>
            <w:szCs w:val="21"/>
            <w:bdr w:val="none" w:sz="0" w:space="0" w:color="auto" w:frame="1"/>
            <w:vertAlign w:val="superscript"/>
          </w:rPr>
          <w:t>6</w:t>
        </w:r>
      </w:hyperlink>
      <w:r>
        <w:rPr>
          <w:rStyle w:val="al-author-delim"/>
          <w:rFonts w:ascii="Helvetica" w:hAnsi="Helvetica"/>
          <w:color w:val="333333"/>
          <w:sz w:val="21"/>
          <w:szCs w:val="21"/>
          <w:bdr w:val="none" w:sz="0" w:space="0" w:color="auto" w:frame="1"/>
        </w:rPr>
        <w:t>; </w:t>
      </w:r>
      <w:hyperlink r:id="rId12" w:tgtFrame="_blank" w:history="1">
        <w:r>
          <w:rPr>
            <w:rStyle w:val="Hyperlink"/>
            <w:rFonts w:ascii="Helvetica" w:hAnsi="Helvetica"/>
            <w:color w:val="444444"/>
            <w:sz w:val="21"/>
            <w:szCs w:val="21"/>
            <w:bdr w:val="none" w:sz="0" w:space="0" w:color="auto" w:frame="1"/>
          </w:rPr>
          <w:t>H. Juliette T. Unwin, PhD</w:t>
        </w:r>
        <w:r>
          <w:rPr>
            <w:rStyle w:val="Hyperlink"/>
            <w:rFonts w:ascii="Helvetica" w:hAnsi="Helvetica"/>
            <w:color w:val="444444"/>
            <w:sz w:val="21"/>
            <w:szCs w:val="21"/>
            <w:bdr w:val="none" w:sz="0" w:space="0" w:color="auto" w:frame="1"/>
            <w:vertAlign w:val="superscript"/>
          </w:rPr>
          <w:t>7</w:t>
        </w:r>
      </w:hyperlink>
    </w:p>
    <w:p w:rsidR="001C1417" w:rsidRDefault="001C1417" w:rsidP="001C1417">
      <w:pPr>
        <w:rPr>
          <w:rFonts w:ascii="Helvetica" w:hAnsi="Helvetica"/>
          <w:color w:val="444444"/>
          <w:sz w:val="21"/>
          <w:szCs w:val="21"/>
        </w:rPr>
      </w:pPr>
      <w:r>
        <w:rPr>
          <w:rFonts w:ascii="Helvetica" w:hAnsi="Helvetica"/>
          <w:color w:val="444444"/>
          <w:sz w:val="21"/>
          <w:szCs w:val="21"/>
        </w:rPr>
        <w:t>Author Affiliations </w:t>
      </w:r>
      <w:hyperlink r:id="rId13" w:anchor="248694586" w:history="1">
        <w:r>
          <w:rPr>
            <w:rStyle w:val="Hyperlink"/>
            <w:rFonts w:ascii="Helvetica" w:hAnsi="Helvetica"/>
            <w:color w:val="005276"/>
            <w:sz w:val="21"/>
            <w:szCs w:val="21"/>
          </w:rPr>
          <w:t>Article Information</w:t>
        </w:r>
      </w:hyperlink>
    </w:p>
    <w:p w:rsidR="001C1417" w:rsidRDefault="001C1417" w:rsidP="001C1417">
      <w:pPr>
        <w:rPr>
          <w:rFonts w:ascii="Helvetica" w:hAnsi="Helvetica"/>
          <w:color w:val="333333"/>
          <w:sz w:val="21"/>
          <w:szCs w:val="21"/>
        </w:rPr>
      </w:pPr>
      <w:proofErr w:type="gramStart"/>
      <w:r>
        <w:rPr>
          <w:rStyle w:val="meta-citation-journal-name"/>
          <w:rFonts w:ascii="Helvetica" w:hAnsi="Helvetica"/>
          <w:i/>
          <w:iCs/>
          <w:color w:val="333333"/>
          <w:sz w:val="21"/>
          <w:szCs w:val="21"/>
        </w:rPr>
        <w:t>JAMA Pediatr.</w:t>
      </w:r>
      <w:proofErr w:type="gramEnd"/>
      <w:r>
        <w:rPr>
          <w:rStyle w:val="meta-citation-journal-name"/>
          <w:rFonts w:ascii="Helvetica" w:hAnsi="Helvetica"/>
          <w:i/>
          <w:iCs/>
          <w:color w:val="333333"/>
          <w:sz w:val="21"/>
          <w:szCs w:val="21"/>
        </w:rPr>
        <w:t> </w:t>
      </w:r>
      <w:r>
        <w:rPr>
          <w:rStyle w:val="meta-citation"/>
          <w:rFonts w:ascii="Helvetica" w:hAnsi="Helvetica"/>
          <w:color w:val="333333"/>
          <w:sz w:val="21"/>
          <w:szCs w:val="21"/>
        </w:rPr>
        <w:t>2022</w:t>
      </w:r>
      <w:proofErr w:type="gramStart"/>
      <w:r>
        <w:rPr>
          <w:rStyle w:val="meta-citation"/>
          <w:rFonts w:ascii="Helvetica" w:hAnsi="Helvetica"/>
          <w:color w:val="333333"/>
          <w:sz w:val="21"/>
          <w:szCs w:val="21"/>
        </w:rPr>
        <w:t>;176</w:t>
      </w:r>
      <w:proofErr w:type="gramEnd"/>
      <w:r>
        <w:rPr>
          <w:rStyle w:val="meta-citation"/>
          <w:rFonts w:ascii="Helvetica" w:hAnsi="Helvetica"/>
          <w:color w:val="333333"/>
          <w:sz w:val="21"/>
          <w:szCs w:val="21"/>
        </w:rPr>
        <w:t>(11):1145-1148. doi:10.1001/jamapediatrics.2022.3157</w:t>
      </w:r>
    </w:p>
    <w:p w:rsidR="001C1417" w:rsidRDefault="001C1417"/>
    <w:p w:rsidR="001C1417" w:rsidRDefault="001C1417" w:rsidP="001C1417">
      <w:pPr>
        <w:rPr>
          <w:rFonts w:ascii="Helvetica" w:hAnsi="Helvetica"/>
          <w:color w:val="0084C0"/>
          <w:sz w:val="42"/>
          <w:szCs w:val="42"/>
        </w:rPr>
      </w:pPr>
      <w:r>
        <w:rPr>
          <w:rFonts w:ascii="Helvetica" w:hAnsi="Helvetica"/>
          <w:color w:val="0084C0"/>
          <w:sz w:val="42"/>
          <w:szCs w:val="42"/>
        </w:rPr>
        <w:t>Methods</w:t>
      </w:r>
    </w:p>
    <w:p w:rsidR="001C1417" w:rsidRDefault="001C1417" w:rsidP="001C1417">
      <w:pPr>
        <w:pStyle w:val="para"/>
        <w:spacing w:before="0" w:beforeAutospacing="0" w:after="300" w:afterAutospacing="0"/>
        <w:rPr>
          <w:rFonts w:ascii="Helvetica" w:hAnsi="Helvetica"/>
          <w:color w:val="333333"/>
        </w:rPr>
      </w:pPr>
      <w:r>
        <w:rPr>
          <w:rFonts w:ascii="Helvetica" w:hAnsi="Helvetica"/>
          <w:color w:val="333333"/>
        </w:rPr>
        <w:t>Using previous methodology for combining age-specific death and fertility rates</w:t>
      </w:r>
      <w:proofErr w:type="gramStart"/>
      <w:r>
        <w:rPr>
          <w:rFonts w:ascii="Helvetica" w:hAnsi="Helvetica"/>
          <w:color w:val="333333"/>
        </w:rPr>
        <w:t>,</w:t>
      </w:r>
      <w:proofErr w:type="gramEnd"/>
      <w:r>
        <w:rPr>
          <w:rFonts w:ascii="Helvetica" w:hAnsi="Helvetica"/>
          <w:color w:val="333333"/>
          <w:vertAlign w:val="superscript"/>
        </w:rPr>
        <w:fldChar w:fldCharType="begin"/>
      </w:r>
      <w:r>
        <w:rPr>
          <w:rFonts w:ascii="Helvetica" w:hAnsi="Helvetica"/>
          <w:color w:val="333333"/>
          <w:vertAlign w:val="superscript"/>
        </w:rPr>
        <w:instrText xml:space="preserve"> HYPERLINK "https://jamanetwork.com/journals/jamapediatrics/fullarticle/2795650" \l "pld220034r4" </w:instrText>
      </w:r>
      <w:r>
        <w:rPr>
          <w:rFonts w:ascii="Helvetica" w:hAnsi="Helvetica"/>
          <w:color w:val="333333"/>
          <w:vertAlign w:val="superscript"/>
        </w:rPr>
        <w:fldChar w:fldCharType="separate"/>
      </w:r>
      <w:r>
        <w:rPr>
          <w:rStyle w:val="Hyperlink"/>
          <w:rFonts w:ascii="Helvetica" w:hAnsi="Helvetica"/>
          <w:color w:val="005276"/>
          <w:vertAlign w:val="superscript"/>
        </w:rPr>
        <w:t>4</w:t>
      </w:r>
      <w:r>
        <w:rPr>
          <w:rFonts w:ascii="Helvetica" w:hAnsi="Helvetica"/>
          <w:color w:val="333333"/>
          <w:vertAlign w:val="superscript"/>
        </w:rPr>
        <w:fldChar w:fldCharType="end"/>
      </w:r>
      <w:r>
        <w:rPr>
          <w:rFonts w:ascii="Helvetica" w:hAnsi="Helvetica"/>
          <w:color w:val="333333"/>
        </w:rPr>
        <w:t> we use Guidelines for Accurate and Transparent Health Estimates Reporting (GATHER) reporting guideline for this epidemiologic modeling study to update COVID-19 estimates of parent and caregiver loss. We computed excess mortality-derived estimates for bereft children in every country, using data from the World Health Organization (WHO), </w:t>
      </w:r>
      <w:r>
        <w:rPr>
          <w:rFonts w:ascii="Helvetica" w:hAnsi="Helvetica"/>
          <w:i/>
          <w:iCs/>
          <w:color w:val="333333"/>
        </w:rPr>
        <w:t>The Economist</w:t>
      </w:r>
      <w:r>
        <w:rPr>
          <w:rFonts w:ascii="Helvetica" w:hAnsi="Helvetica"/>
          <w:color w:val="333333"/>
        </w:rPr>
        <w:t>, and the Institute for Health Metrics and Evaluation (IHME).</w:t>
      </w:r>
      <w:hyperlink r:id="rId14" w:anchor="pld220034r1" w:history="1">
        <w:r>
          <w:rPr>
            <w:rStyle w:val="Hyperlink"/>
            <w:rFonts w:ascii="Helvetica" w:hAnsi="Helvetica"/>
            <w:color w:val="005276"/>
            <w:vertAlign w:val="superscript"/>
          </w:rPr>
          <w:t>1</w:t>
        </w:r>
      </w:hyperlink>
      <w:r>
        <w:rPr>
          <w:rFonts w:ascii="Helvetica" w:hAnsi="Helvetica"/>
          <w:color w:val="333333"/>
          <w:vertAlign w:val="superscript"/>
        </w:rPr>
        <w:t>-</w:t>
      </w:r>
      <w:hyperlink r:id="rId15" w:anchor="pld220034r1" w:history="1">
        <w:r>
          <w:rPr>
            <w:rStyle w:val="Hyperlink"/>
            <w:rFonts w:ascii="Helvetica" w:hAnsi="Helvetica"/>
            <w:color w:val="005276"/>
            <w:vertAlign w:val="superscript"/>
          </w:rPr>
          <w:t>3</w:t>
        </w:r>
      </w:hyperlink>
      <w:r>
        <w:rPr>
          <w:rFonts w:ascii="Helvetica" w:hAnsi="Helvetica"/>
          <w:color w:val="333333"/>
          <w:vertAlign w:val="superscript"/>
        </w:rPr>
        <w:t>,</w:t>
      </w:r>
      <w:hyperlink r:id="rId16" w:anchor="pld220034r6" w:history="1">
        <w:r>
          <w:rPr>
            <w:rStyle w:val="Hyperlink"/>
            <w:rFonts w:ascii="Helvetica" w:hAnsi="Helvetica"/>
            <w:color w:val="005276"/>
            <w:vertAlign w:val="superscript"/>
          </w:rPr>
          <w:t>6</w:t>
        </w:r>
      </w:hyperlink>
      <w:r>
        <w:rPr>
          <w:rFonts w:ascii="Helvetica" w:hAnsi="Helvetica"/>
          <w:color w:val="333333"/>
        </w:rPr>
        <w:t> We replaced COVID-19 deaths in previous logistic models with excess deaths (except when excess deaths were negative) to generate composite deaths for January 1, 2020, through December 31, 2021, and for January 1, 2020, through May 1, 2022 (eMethods in the </w:t>
      </w:r>
      <w:hyperlink r:id="rId17" w:anchor="note-PLD220034-1" w:history="1">
        <w:r>
          <w:rPr>
            <w:rStyle w:val="Hyperlink"/>
            <w:rFonts w:ascii="Helvetica" w:hAnsi="Helvetica"/>
            <w:color w:val="000000"/>
          </w:rPr>
          <w:t>Supplement</w:t>
        </w:r>
      </w:hyperlink>
      <w:r>
        <w:rPr>
          <w:rFonts w:ascii="Helvetica" w:hAnsi="Helvetica"/>
          <w:color w:val="333333"/>
        </w:rPr>
        <w:t>; </w:t>
      </w:r>
      <w:hyperlink r:id="rId18" w:anchor="pld220034t1" w:history="1">
        <w:r>
          <w:rPr>
            <w:rStyle w:val="Hyperlink"/>
            <w:rFonts w:ascii="Helvetica" w:hAnsi="Helvetica"/>
            <w:color w:val="000000"/>
          </w:rPr>
          <w:t>Table</w:t>
        </w:r>
      </w:hyperlink>
      <w:r>
        <w:rPr>
          <w:rFonts w:ascii="Helvetica" w:hAnsi="Helvetica"/>
          <w:color w:val="333333"/>
        </w:rPr>
        <w:t>). We used bootstrapping to calculate uncertainty around estimates from fertility and death data. We present regional and national estimates using WHO-based mortality methods.</w:t>
      </w:r>
    </w:p>
    <w:p w:rsidR="001C1417" w:rsidRDefault="001C1417" w:rsidP="001C1417">
      <w:pPr>
        <w:rPr>
          <w:rFonts w:ascii="Helvetica" w:hAnsi="Helvetica"/>
          <w:color w:val="0084C0"/>
          <w:sz w:val="42"/>
          <w:szCs w:val="42"/>
        </w:rPr>
      </w:pPr>
      <w:r>
        <w:rPr>
          <w:rFonts w:ascii="Helvetica" w:hAnsi="Helvetica"/>
          <w:color w:val="0084C0"/>
          <w:sz w:val="42"/>
          <w:szCs w:val="42"/>
        </w:rPr>
        <w:t>Results</w:t>
      </w:r>
    </w:p>
    <w:p w:rsidR="001C1417" w:rsidRDefault="001C1417" w:rsidP="001C1417">
      <w:pPr>
        <w:pStyle w:val="para"/>
        <w:spacing w:before="0" w:beforeAutospacing="0" w:after="300" w:afterAutospacing="0"/>
        <w:rPr>
          <w:rFonts w:ascii="Helvetica" w:hAnsi="Helvetica"/>
          <w:color w:val="333333"/>
        </w:rPr>
      </w:pPr>
      <w:r>
        <w:rPr>
          <w:rFonts w:ascii="Helvetica" w:hAnsi="Helvetica"/>
          <w:color w:val="333333"/>
        </w:rPr>
        <w:t>Using WHO excess mortality (more conservative than findings from IHME and </w:t>
      </w:r>
      <w:r>
        <w:rPr>
          <w:rFonts w:ascii="Helvetica" w:hAnsi="Helvetica"/>
          <w:i/>
          <w:iCs/>
          <w:color w:val="333333"/>
        </w:rPr>
        <w:t>The Economist</w:t>
      </w:r>
      <w:r>
        <w:rPr>
          <w:rFonts w:ascii="Helvetica" w:hAnsi="Helvetica"/>
          <w:color w:val="333333"/>
        </w:rPr>
        <w:t>)</w:t>
      </w:r>
      <w:proofErr w:type="gramStart"/>
      <w:r>
        <w:rPr>
          <w:rFonts w:ascii="Helvetica" w:hAnsi="Helvetica"/>
          <w:color w:val="333333"/>
        </w:rPr>
        <w:t>,</w:t>
      </w:r>
      <w:proofErr w:type="gramEnd"/>
      <w:r>
        <w:rPr>
          <w:rFonts w:ascii="Helvetica" w:hAnsi="Helvetica"/>
          <w:color w:val="333333"/>
        </w:rPr>
        <w:t xml:space="preserve"> we estimate that 10 500 000 children lost parents or caregivers (</w:t>
      </w:r>
      <w:hyperlink r:id="rId19" w:anchor="pld220034t1" w:history="1">
        <w:r>
          <w:rPr>
            <w:rStyle w:val="Hyperlink"/>
            <w:rFonts w:ascii="Helvetica" w:hAnsi="Helvetica"/>
            <w:color w:val="000000"/>
          </w:rPr>
          <w:t>Table</w:t>
        </w:r>
      </w:hyperlink>
      <w:r>
        <w:rPr>
          <w:rFonts w:ascii="Helvetica" w:hAnsi="Helvetica"/>
          <w:color w:val="333333"/>
        </w:rPr>
        <w:t xml:space="preserve">), and 7 500 000 children experienced COVID-19–associated orphanhood through May 1, </w:t>
      </w:r>
      <w:r>
        <w:rPr>
          <w:rFonts w:ascii="Helvetica" w:hAnsi="Helvetica"/>
          <w:color w:val="333333"/>
        </w:rPr>
        <w:lastRenderedPageBreak/>
        <w:t>2022. Greater numbers affected by orphanhood by primary and/or secondary caregiver loss were found in the Africa (24.3% [95% credible interval [CI], 19.3%-27.6%]) and Southeast Asia (40.6% [95% CI, 35.3%-46.2%]) WHO regions, compared with the Americas (14.0% [95% CI, 12.6%-15.8%]), Eastern Mediterranean (14.6% [95% CI, 12.9%-16.2%]), European (4.7% [95% CI, 4.4%-5.3%]) and Western Pacific (1.8% [95% CI, 1.7%-1.9%]) regions through May 1, 2022 (</w:t>
      </w:r>
      <w:hyperlink r:id="rId20" w:anchor="pld220034f1" w:history="1">
        <w:r>
          <w:rPr>
            <w:rStyle w:val="Hyperlink"/>
            <w:rFonts w:ascii="Helvetica" w:hAnsi="Helvetica"/>
            <w:color w:val="000000"/>
          </w:rPr>
          <w:t>Figure</w:t>
        </w:r>
      </w:hyperlink>
      <w:r>
        <w:rPr>
          <w:rFonts w:ascii="Helvetica" w:hAnsi="Helvetica"/>
          <w:color w:val="333333"/>
        </w:rPr>
        <w:t> A). Similarly, variation in estimates arises at national levels, with India (3 490 000 [95% CI, 2 430 000-4 730 000]), Indonesia (660 000 [95% CI, 390 000-1 020 000]), Egypt (450 000 [95% CI, 360 000-540 000]), Nigeria (430 000 [95% CI, 40 000-900 000]), and Pakistan (410 000 [95% CI, 80 000-770 000]) worst affected through May 1, 2022 (</w:t>
      </w:r>
      <w:hyperlink r:id="rId21" w:anchor="pld220034f1" w:history="1">
        <w:r>
          <w:rPr>
            <w:rStyle w:val="Hyperlink"/>
            <w:rFonts w:ascii="Helvetica" w:hAnsi="Helvetica"/>
            <w:color w:val="000000"/>
          </w:rPr>
          <w:t>Figure</w:t>
        </w:r>
      </w:hyperlink>
      <w:r>
        <w:rPr>
          <w:rFonts w:ascii="Helvetica" w:hAnsi="Helvetica"/>
          <w:color w:val="333333"/>
        </w:rPr>
        <w:t> B). Among the WHO regions most affected, countries with the highest numbers of bereaved children in Southeast Asia included Bangladesh, India, Indonesia, Myanmar, and Nepal and in Africa included Democratic Republic of Congo, Ethiopia, Kenya, Nigeria, and South Africa. Our updated Orphanhood Calculator</w:t>
      </w:r>
      <w:hyperlink r:id="rId22" w:anchor="pld220034r6" w:history="1">
        <w:r>
          <w:rPr>
            <w:rStyle w:val="Hyperlink"/>
            <w:rFonts w:ascii="Helvetica" w:hAnsi="Helvetica"/>
            <w:color w:val="005276"/>
            <w:vertAlign w:val="superscript"/>
          </w:rPr>
          <w:t>6</w:t>
        </w:r>
      </w:hyperlink>
      <w:r>
        <w:rPr>
          <w:rFonts w:ascii="Helvetica" w:hAnsi="Helvetica"/>
          <w:color w:val="333333"/>
        </w:rPr>
        <w:t> provides these new numbers for every country.</w:t>
      </w:r>
    </w:p>
    <w:p w:rsidR="001C1417" w:rsidRDefault="001C1417" w:rsidP="001C1417">
      <w:pPr>
        <w:rPr>
          <w:rFonts w:ascii="Helvetica" w:hAnsi="Helvetica"/>
          <w:color w:val="0084C0"/>
          <w:sz w:val="42"/>
          <w:szCs w:val="42"/>
        </w:rPr>
      </w:pPr>
      <w:r>
        <w:rPr>
          <w:rFonts w:ascii="Helvetica" w:hAnsi="Helvetica"/>
          <w:color w:val="0084C0"/>
          <w:sz w:val="42"/>
          <w:szCs w:val="42"/>
        </w:rPr>
        <w:t>Discussion</w:t>
      </w:r>
    </w:p>
    <w:p w:rsidR="001C1417" w:rsidRDefault="001C1417" w:rsidP="001C1417">
      <w:pPr>
        <w:pStyle w:val="para"/>
        <w:spacing w:before="0" w:beforeAutospacing="0" w:after="300" w:afterAutospacing="0"/>
        <w:rPr>
          <w:rFonts w:ascii="Helvetica" w:hAnsi="Helvetica"/>
          <w:color w:val="333333"/>
        </w:rPr>
      </w:pPr>
      <w:r>
        <w:rPr>
          <w:rFonts w:ascii="Helvetica" w:hAnsi="Helvetica"/>
          <w:color w:val="333333"/>
        </w:rPr>
        <w:t>COVID-19–associated orphanhood and caregiver death has left an estimated 10.5 million children bereaved of their parents and caregivers. While billions of dollars are invested in preventing COVID-19–associated deaths, little is being done to care for children left behind. However, billions of dollars invested in supporting AIDS-orphaned children showcase successful solutions ready for replication.</w:t>
      </w:r>
      <w:hyperlink r:id="rId23" w:anchor="pld220034r4" w:history="1">
        <w:r>
          <w:rPr>
            <w:rStyle w:val="Hyperlink"/>
            <w:rFonts w:ascii="Helvetica" w:hAnsi="Helvetica"/>
            <w:color w:val="005276"/>
            <w:vertAlign w:val="superscript"/>
          </w:rPr>
          <w:t>4</w:t>
        </w:r>
      </w:hyperlink>
      <w:r>
        <w:rPr>
          <w:rFonts w:ascii="Helvetica" w:hAnsi="Helvetica"/>
          <w:color w:val="333333"/>
        </w:rPr>
        <w:t> Only 2 countries, Peru and the US, have made national commitments to address COVID-19–associated orphanhood. At the 2nd Global COVID-19 Summit (May 12, 2022), President Biden emphasized the urgency of caring for the millions of children orphaned. Urgently needed pandemic responses can combine equitable vaccination with life-changing programs for bereaved children. An important limitation is that modeling estimates cannot measure actual numbers of children affected by caregiver death; future pandemic surveillance should include such children. Given the magnitude and lifelong consequences of orphanhood, integration into every national pandemic response plan of timely care for these children will help mitigate lasting adverse consequences. Evidence highlights 3 essential components: (1) prevent death of caregivers by accelerating vaccines, containment, and treatment; (2) prepare families to provide safe and nurturing alternative care; and (3) protect orphaned children through economic support, violence prevention, parenting support, and ensuring school access. Effective, caring action to protect children from immediate and long-term harms of COVID-19 is an investment in the future and a public health imperative.</w:t>
      </w:r>
    </w:p>
    <w:p w:rsidR="001C1417" w:rsidRDefault="001C1417" w:rsidP="001C1417">
      <w:pPr>
        <w:rPr>
          <w:rFonts w:ascii="Helvetica" w:hAnsi="Helvetica"/>
          <w:color w:val="333333"/>
          <w:sz w:val="42"/>
          <w:szCs w:val="42"/>
        </w:rPr>
      </w:pPr>
      <w:hyperlink r:id="rId24" w:anchor="top" w:history="1">
        <w:r>
          <w:rPr>
            <w:rStyle w:val="Hyperlink"/>
            <w:rFonts w:ascii="Helvetica" w:hAnsi="Helvetica"/>
            <w:color w:val="005276"/>
          </w:rPr>
          <w:t>Back to top</w:t>
        </w:r>
      </w:hyperlink>
    </w:p>
    <w:p w:rsidR="001C1417" w:rsidRDefault="001C1417" w:rsidP="001C1417">
      <w:pPr>
        <w:rPr>
          <w:rFonts w:ascii="Helvetica" w:hAnsi="Helvetica"/>
          <w:color w:val="0084C0"/>
          <w:sz w:val="42"/>
          <w:szCs w:val="42"/>
        </w:rPr>
      </w:pPr>
      <w:r>
        <w:rPr>
          <w:rFonts w:ascii="Helvetica" w:hAnsi="Helvetica"/>
          <w:color w:val="0084C0"/>
          <w:sz w:val="42"/>
          <w:szCs w:val="42"/>
        </w:rPr>
        <w:t>Article Information</w:t>
      </w:r>
    </w:p>
    <w:p w:rsidR="001C1417" w:rsidRDefault="001C1417" w:rsidP="001C1417">
      <w:pPr>
        <w:pStyle w:val="para"/>
        <w:spacing w:before="0" w:beforeAutospacing="0" w:after="300" w:afterAutospacing="0"/>
        <w:rPr>
          <w:rFonts w:ascii="Helvetica" w:hAnsi="Helvetica"/>
          <w:color w:val="333333"/>
        </w:rPr>
      </w:pPr>
      <w:proofErr w:type="gramStart"/>
      <w:r>
        <w:rPr>
          <w:rStyle w:val="Strong"/>
          <w:rFonts w:ascii="Helvetica" w:hAnsi="Helvetica"/>
          <w:color w:val="000000"/>
        </w:rPr>
        <w:t>Accepted for Publication:</w:t>
      </w:r>
      <w:r>
        <w:rPr>
          <w:rFonts w:ascii="Helvetica" w:hAnsi="Helvetica"/>
          <w:color w:val="333333"/>
        </w:rPr>
        <w:t> June 28, 2022.</w:t>
      </w:r>
      <w:proofErr w:type="gramEnd"/>
    </w:p>
    <w:p w:rsidR="001C1417" w:rsidRDefault="001C1417" w:rsidP="001C1417">
      <w:pPr>
        <w:pStyle w:val="parapublished-online"/>
        <w:spacing w:before="0" w:beforeAutospacing="0" w:after="300" w:afterAutospacing="0"/>
        <w:rPr>
          <w:rFonts w:ascii="Helvetica" w:hAnsi="Helvetica"/>
          <w:color w:val="333333"/>
        </w:rPr>
      </w:pPr>
      <w:proofErr w:type="gramStart"/>
      <w:r>
        <w:rPr>
          <w:rStyle w:val="Strong"/>
          <w:rFonts w:ascii="Helvetica" w:hAnsi="Helvetica"/>
          <w:color w:val="000000"/>
        </w:rPr>
        <w:lastRenderedPageBreak/>
        <w:t>Published Online:</w:t>
      </w:r>
      <w:r>
        <w:rPr>
          <w:rFonts w:ascii="Helvetica" w:hAnsi="Helvetica"/>
          <w:color w:val="333333"/>
        </w:rPr>
        <w:t> September 6, 2022.</w:t>
      </w:r>
      <w:proofErr w:type="gramEnd"/>
      <w:r>
        <w:rPr>
          <w:rFonts w:ascii="Helvetica" w:hAnsi="Helvetica"/>
          <w:color w:val="333333"/>
        </w:rPr>
        <w:t xml:space="preserve"> </w:t>
      </w:r>
      <w:proofErr w:type="gramStart"/>
      <w:r>
        <w:rPr>
          <w:rFonts w:ascii="Helvetica" w:hAnsi="Helvetica"/>
          <w:color w:val="333333"/>
        </w:rPr>
        <w:t>doi</w:t>
      </w:r>
      <w:proofErr w:type="gramEnd"/>
      <w:r>
        <w:rPr>
          <w:rFonts w:ascii="Helvetica" w:hAnsi="Helvetica"/>
          <w:color w:val="333333"/>
        </w:rPr>
        <w:t>:</w:t>
      </w:r>
      <w:hyperlink r:id="rId25" w:tgtFrame="_blank" w:history="1">
        <w:r>
          <w:rPr>
            <w:rStyle w:val="Hyperlink"/>
            <w:rFonts w:ascii="Helvetica" w:hAnsi="Helvetica"/>
            <w:color w:val="005276"/>
          </w:rPr>
          <w:t>10.1001/jamapediatrics.2022.3157</w:t>
        </w:r>
      </w:hyperlink>
    </w:p>
    <w:p w:rsidR="001C1417" w:rsidRDefault="001C1417" w:rsidP="001C1417">
      <w:pPr>
        <w:pStyle w:val="authorinfosection"/>
        <w:spacing w:before="0" w:beforeAutospacing="0" w:after="300" w:afterAutospacing="0"/>
        <w:rPr>
          <w:rFonts w:ascii="Helvetica" w:hAnsi="Helvetica"/>
          <w:color w:val="333333"/>
        </w:rPr>
      </w:pPr>
      <w:r>
        <w:rPr>
          <w:rStyle w:val="Strong"/>
          <w:rFonts w:ascii="Helvetica" w:hAnsi="Helvetica"/>
          <w:color w:val="000000"/>
        </w:rPr>
        <w:t>Corresponding Authors</w:t>
      </w:r>
      <w:r>
        <w:rPr>
          <w:rFonts w:ascii="Helvetica" w:hAnsi="Helvetica"/>
          <w:color w:val="333333"/>
        </w:rPr>
        <w:t>: Joel-Pascal Ntwali N’konzi, MSc, African Institute for Mathematical Sciences, KN 3 Rd, Kigali, Rwanda (</w:t>
      </w:r>
      <w:hyperlink r:id="rId26" w:tgtFrame="_blank" w:history="1">
        <w:r>
          <w:rPr>
            <w:rStyle w:val="Hyperlink"/>
            <w:rFonts w:ascii="Helvetica" w:hAnsi="Helvetica"/>
            <w:color w:val="005276"/>
          </w:rPr>
          <w:t>joelpascal.ntwali@aims.ac.rw</w:t>
        </w:r>
      </w:hyperlink>
      <w:r>
        <w:rPr>
          <w:rFonts w:ascii="Helvetica" w:hAnsi="Helvetica"/>
          <w:color w:val="333333"/>
        </w:rPr>
        <w:t>); Susan Hillis, PhD, University of Oxford, 32 Wellington Square, OX1 1NF, Oxford, United Kingdom (</w:t>
      </w:r>
      <w:hyperlink r:id="rId27" w:tgtFrame="_blank" w:history="1">
        <w:r>
          <w:rPr>
            <w:rStyle w:val="Hyperlink"/>
            <w:rFonts w:ascii="Helvetica" w:hAnsi="Helvetica"/>
            <w:color w:val="005276"/>
          </w:rPr>
          <w:t>susanhillis12@gmail.com</w:t>
        </w:r>
      </w:hyperlink>
      <w:r>
        <w:rPr>
          <w:rFonts w:ascii="Helvetica" w:hAnsi="Helvetica"/>
          <w:color w:val="333333"/>
        </w:rPr>
        <w:t>).</w:t>
      </w:r>
    </w:p>
    <w:p w:rsidR="001C1417" w:rsidRDefault="001C1417" w:rsidP="001C1417">
      <w:pPr>
        <w:pStyle w:val="paracorrection-note"/>
        <w:spacing w:before="0" w:beforeAutospacing="0" w:after="300" w:afterAutospacing="0"/>
        <w:rPr>
          <w:rFonts w:ascii="Helvetica" w:hAnsi="Helvetica"/>
          <w:color w:val="333333"/>
        </w:rPr>
      </w:pPr>
      <w:r>
        <w:rPr>
          <w:rStyle w:val="Strong"/>
          <w:rFonts w:ascii="Helvetica" w:hAnsi="Helvetica"/>
          <w:color w:val="000000"/>
        </w:rPr>
        <w:t>Correction: </w:t>
      </w:r>
      <w:r>
        <w:rPr>
          <w:rFonts w:ascii="Helvetica" w:hAnsi="Helvetica"/>
          <w:color w:val="333333"/>
        </w:rPr>
        <w:t>This article was corrected on October 3, 2022, to fix an error in the Table.</w:t>
      </w:r>
    </w:p>
    <w:p w:rsidR="001C1417" w:rsidRDefault="001C1417" w:rsidP="001C1417">
      <w:pPr>
        <w:pStyle w:val="paraopen-access-note"/>
        <w:spacing w:before="0" w:beforeAutospacing="0" w:after="300" w:afterAutospacing="0"/>
        <w:rPr>
          <w:rFonts w:ascii="Helvetica" w:hAnsi="Helvetica"/>
          <w:color w:val="333333"/>
        </w:rPr>
      </w:pPr>
      <w:r>
        <w:rPr>
          <w:rStyle w:val="Strong"/>
          <w:rFonts w:ascii="Helvetica" w:hAnsi="Helvetica"/>
          <w:color w:val="000000"/>
        </w:rPr>
        <w:t>Open Access:</w:t>
      </w:r>
      <w:r>
        <w:rPr>
          <w:rFonts w:ascii="Helvetica" w:hAnsi="Helvetica"/>
          <w:color w:val="333333"/>
        </w:rPr>
        <w:t> This is an open access article distributed under the terms of the </w:t>
      </w:r>
      <w:hyperlink r:id="rId28" w:history="1">
        <w:r>
          <w:rPr>
            <w:rStyle w:val="Hyperlink"/>
            <w:rFonts w:ascii="Helvetica" w:hAnsi="Helvetica"/>
            <w:color w:val="005276"/>
          </w:rPr>
          <w:t>CC-BY License</w:t>
        </w:r>
      </w:hyperlink>
      <w:r>
        <w:rPr>
          <w:rFonts w:ascii="Helvetica" w:hAnsi="Helvetica"/>
          <w:color w:val="333333"/>
        </w:rPr>
        <w:t xml:space="preserve">. </w:t>
      </w:r>
      <w:proofErr w:type="gramStart"/>
      <w:r>
        <w:rPr>
          <w:rFonts w:ascii="Helvetica" w:hAnsi="Helvetica"/>
          <w:color w:val="333333"/>
        </w:rPr>
        <w:t>© 2022 Hillis S et al. </w:t>
      </w:r>
      <w:r>
        <w:rPr>
          <w:rFonts w:ascii="Helvetica" w:hAnsi="Helvetica"/>
          <w:i/>
          <w:iCs/>
          <w:color w:val="333333"/>
        </w:rPr>
        <w:t>JAMA Pediatrics</w:t>
      </w:r>
      <w:r>
        <w:rPr>
          <w:rFonts w:ascii="Helvetica" w:hAnsi="Helvetica"/>
          <w:color w:val="333333"/>
        </w:rPr>
        <w:t>.</w:t>
      </w:r>
      <w:proofErr w:type="gramEnd"/>
    </w:p>
    <w:p w:rsidR="001C1417" w:rsidRDefault="001C1417" w:rsidP="001C1417">
      <w:pPr>
        <w:pStyle w:val="paraauthor-contributions"/>
        <w:spacing w:before="0" w:beforeAutospacing="0" w:after="300" w:afterAutospacing="0"/>
        <w:rPr>
          <w:rFonts w:ascii="Helvetica" w:hAnsi="Helvetica"/>
          <w:color w:val="333333"/>
        </w:rPr>
      </w:pPr>
      <w:r>
        <w:rPr>
          <w:rStyle w:val="Strong"/>
          <w:rFonts w:ascii="Helvetica" w:hAnsi="Helvetica"/>
          <w:color w:val="000000"/>
        </w:rPr>
        <w:t>Author Contributions</w:t>
      </w:r>
      <w:r>
        <w:rPr>
          <w:rFonts w:ascii="Helvetica" w:hAnsi="Helvetica"/>
          <w:color w:val="333333"/>
        </w:rPr>
        <w:t>: Dr Unwin and Mr Ntwali N’konzi had full access to all of the data in the study and take responsibility for the integrity of the data and the accuracy of the data analysis.</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Concept and design:</w:t>
      </w:r>
      <w:r>
        <w:rPr>
          <w:rFonts w:ascii="Helvetica" w:hAnsi="Helvetica"/>
          <w:color w:val="333333"/>
        </w:rPr>
        <w:t> Hillis, Villaveces, Flaxman, Unwin.</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Acquisition, analysis, or interpretation of data:</w:t>
      </w:r>
      <w:r>
        <w:rPr>
          <w:rFonts w:ascii="Helvetica" w:hAnsi="Helvetica"/>
          <w:color w:val="333333"/>
        </w:rPr>
        <w:t> Hillis, Ntwali N’konzi, Msemburi, Villaveces, Flaxman, Unwin.</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Drafting of the manuscript:</w:t>
      </w:r>
      <w:r>
        <w:rPr>
          <w:rFonts w:ascii="Helvetica" w:hAnsi="Helvetica"/>
          <w:color w:val="333333"/>
        </w:rPr>
        <w:t xml:space="preserve"> Hillis, Villaveces, Flaxman, </w:t>
      </w:r>
      <w:proofErr w:type="gramStart"/>
      <w:r>
        <w:rPr>
          <w:rFonts w:ascii="Helvetica" w:hAnsi="Helvetica"/>
          <w:color w:val="333333"/>
        </w:rPr>
        <w:t>Unwin</w:t>
      </w:r>
      <w:proofErr w:type="gramEnd"/>
      <w:r>
        <w:rPr>
          <w:rFonts w:ascii="Helvetica" w:hAnsi="Helvetica"/>
          <w:color w:val="333333"/>
        </w:rPr>
        <w:t>.</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Critical revision of the manuscript for important intellectual content:</w:t>
      </w:r>
      <w:r>
        <w:rPr>
          <w:rFonts w:ascii="Helvetica" w:hAnsi="Helvetica"/>
          <w:color w:val="333333"/>
        </w:rPr>
        <w:t> Hillis, Ntwali N’konzi, Msemburi, Villaveces, Flaxman, Unwin.</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Statistical analysis:</w:t>
      </w:r>
      <w:r>
        <w:rPr>
          <w:rFonts w:ascii="Helvetica" w:hAnsi="Helvetica"/>
          <w:color w:val="333333"/>
        </w:rPr>
        <w:t> Hillis, Ntwali N’konzi, Flaxman, Unwin.</w:t>
      </w:r>
    </w:p>
    <w:p w:rsidR="001C1417" w:rsidRDefault="001C1417" w:rsidP="001C1417">
      <w:pPr>
        <w:pStyle w:val="para"/>
        <w:spacing w:before="0" w:beforeAutospacing="0" w:after="300" w:afterAutospacing="0"/>
        <w:rPr>
          <w:rFonts w:ascii="Helvetica" w:hAnsi="Helvetica"/>
          <w:color w:val="333333"/>
        </w:rPr>
      </w:pPr>
      <w:proofErr w:type="gramStart"/>
      <w:r>
        <w:rPr>
          <w:rFonts w:ascii="Helvetica" w:hAnsi="Helvetica"/>
          <w:i/>
          <w:iCs/>
          <w:color w:val="333333"/>
        </w:rPr>
        <w:t>Obtained funding:</w:t>
      </w:r>
      <w:r>
        <w:rPr>
          <w:rFonts w:ascii="Helvetica" w:hAnsi="Helvetica"/>
          <w:color w:val="333333"/>
        </w:rPr>
        <w:t> Flaxman.</w:t>
      </w:r>
      <w:proofErr w:type="gramEnd"/>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Administrative, technical, or material support:</w:t>
      </w:r>
      <w:r>
        <w:rPr>
          <w:rFonts w:ascii="Helvetica" w:hAnsi="Helvetica"/>
          <w:color w:val="333333"/>
        </w:rPr>
        <w:t> Hillis, Msemburi, Villaveces.</w:t>
      </w:r>
    </w:p>
    <w:p w:rsidR="001C1417" w:rsidRDefault="001C1417" w:rsidP="001C1417">
      <w:pPr>
        <w:pStyle w:val="para"/>
        <w:spacing w:before="0" w:beforeAutospacing="0" w:after="300" w:afterAutospacing="0"/>
        <w:rPr>
          <w:rFonts w:ascii="Helvetica" w:hAnsi="Helvetica"/>
          <w:color w:val="333333"/>
        </w:rPr>
      </w:pPr>
      <w:r>
        <w:rPr>
          <w:rFonts w:ascii="Helvetica" w:hAnsi="Helvetica"/>
          <w:i/>
          <w:iCs/>
          <w:color w:val="333333"/>
        </w:rPr>
        <w:t>Supervision:</w:t>
      </w:r>
      <w:r>
        <w:rPr>
          <w:rFonts w:ascii="Helvetica" w:hAnsi="Helvetica"/>
          <w:color w:val="333333"/>
        </w:rPr>
        <w:t> Unwin.</w:t>
      </w:r>
    </w:p>
    <w:p w:rsidR="001C1417" w:rsidRDefault="001C1417" w:rsidP="001C1417">
      <w:pPr>
        <w:pStyle w:val="parafinancial-disclosure"/>
        <w:spacing w:before="0" w:beforeAutospacing="0" w:after="300" w:afterAutospacing="0"/>
        <w:rPr>
          <w:rFonts w:ascii="Helvetica" w:hAnsi="Helvetica"/>
          <w:color w:val="333333"/>
        </w:rPr>
      </w:pPr>
      <w:r>
        <w:rPr>
          <w:rStyle w:val="Strong"/>
          <w:rFonts w:ascii="Helvetica" w:hAnsi="Helvetica"/>
          <w:color w:val="000000"/>
        </w:rPr>
        <w:t>Conflict of Interest Disclosures: </w:t>
      </w:r>
      <w:r>
        <w:rPr>
          <w:rFonts w:ascii="Helvetica" w:hAnsi="Helvetica"/>
          <w:color w:val="333333"/>
        </w:rPr>
        <w:t>Dr Cluver reports grants from UK Research and Innovation, Oak Foundation, and Wellspring Philanthropic Fund during the conduct of the study. No other disclosures were reported.</w:t>
      </w:r>
    </w:p>
    <w:p w:rsidR="001C1417" w:rsidRDefault="001C1417" w:rsidP="001C1417">
      <w:pPr>
        <w:pStyle w:val="parafunding-statement"/>
        <w:spacing w:before="0" w:beforeAutospacing="0" w:after="300" w:afterAutospacing="0"/>
        <w:rPr>
          <w:rFonts w:ascii="Helvetica" w:hAnsi="Helvetica"/>
          <w:color w:val="333333"/>
        </w:rPr>
      </w:pPr>
      <w:r>
        <w:rPr>
          <w:rStyle w:val="Strong"/>
          <w:rFonts w:ascii="Helvetica" w:hAnsi="Helvetica"/>
          <w:color w:val="000000"/>
        </w:rPr>
        <w:t>Funding/Support:</w:t>
      </w:r>
      <w:r>
        <w:rPr>
          <w:rFonts w:ascii="Helvetica" w:hAnsi="Helvetica"/>
          <w:color w:val="333333"/>
        </w:rPr>
        <w:t xml:space="preserve"> We acknowledge the following sources of funding support: UKRI Global Challenges Research Fund (L.C. and J.-P.N.N.), Wellspring Philanthropic Fund (L.C.), Oak Foundation (L.C.), and Engineering and Physical Sciences Research Council (S.F.). Dr Unwin acknowledges funding from the MRC Centre for Global Infectious Disease Analysis (grant MR/R015600/1), jointly funded by the UK Medical Research Council (MRC) and the UK Foreign, Commonwealth &amp; Development Office (FCDO), under the MRC/FCDO concordant agreement and is also part of the EDCTP2 </w:t>
      </w:r>
      <w:r>
        <w:rPr>
          <w:rFonts w:ascii="Helvetica" w:hAnsi="Helvetica"/>
          <w:color w:val="333333"/>
        </w:rPr>
        <w:lastRenderedPageBreak/>
        <w:t>programme supported by the European Union and acknowledges funding by Community Jameel. Dr Cluver thanks an anonymous family foundation for their support for the University of Oxford.</w:t>
      </w:r>
    </w:p>
    <w:p w:rsidR="001C1417" w:rsidRDefault="001C1417" w:rsidP="001C1417">
      <w:pPr>
        <w:pStyle w:val="para"/>
        <w:spacing w:before="0" w:beforeAutospacing="0" w:after="300" w:afterAutospacing="0"/>
        <w:rPr>
          <w:rFonts w:ascii="Helvetica" w:hAnsi="Helvetica"/>
          <w:color w:val="333333"/>
        </w:rPr>
      </w:pPr>
      <w:r>
        <w:rPr>
          <w:rStyle w:val="Strong"/>
          <w:rFonts w:ascii="Helvetica" w:hAnsi="Helvetica"/>
          <w:color w:val="000000"/>
        </w:rPr>
        <w:t>Role of the Funder/Sponsor:</w:t>
      </w:r>
      <w:r>
        <w:rPr>
          <w:rFonts w:ascii="Helvetica" w:hAnsi="Helvetica"/>
          <w:color w:val="333333"/>
        </w:rPr>
        <w:t> The funders had no role in the design and conduct of the study; collection, management, analysis, and interpretation of the data; preparation, review, or approval of the manuscript; and decision to submit the manuscript for publication.</w:t>
      </w:r>
    </w:p>
    <w:p w:rsidR="001C1417" w:rsidRDefault="001C1417" w:rsidP="001C1417">
      <w:pPr>
        <w:pStyle w:val="para"/>
        <w:spacing w:before="0" w:beforeAutospacing="0" w:after="300" w:afterAutospacing="0"/>
        <w:rPr>
          <w:rFonts w:ascii="Helvetica" w:hAnsi="Helvetica"/>
          <w:color w:val="333333"/>
        </w:rPr>
      </w:pPr>
      <w:r>
        <w:rPr>
          <w:rStyle w:val="Strong"/>
          <w:rFonts w:ascii="Helvetica" w:hAnsi="Helvetica"/>
          <w:color w:val="000000"/>
        </w:rPr>
        <w:t>Disclaimer:</w:t>
      </w:r>
      <w:r>
        <w:rPr>
          <w:rFonts w:ascii="Helvetica" w:hAnsi="Helvetica"/>
          <w:color w:val="333333"/>
        </w:rPr>
        <w:t> The findings and conclusions in this report are those of the authors and do not necessarily represent the official position of the US Centers for Disease Control and Prevention or of the World Health Organization.</w:t>
      </w:r>
    </w:p>
    <w:p w:rsidR="001C1417" w:rsidRDefault="001C1417" w:rsidP="001C1417">
      <w:pPr>
        <w:pStyle w:val="para"/>
        <w:spacing w:before="0" w:beforeAutospacing="0" w:after="300" w:afterAutospacing="0"/>
        <w:rPr>
          <w:rFonts w:ascii="Helvetica" w:hAnsi="Helvetica"/>
          <w:color w:val="333333"/>
        </w:rPr>
      </w:pPr>
      <w:r>
        <w:rPr>
          <w:rStyle w:val="Strong"/>
          <w:rFonts w:ascii="Helvetica" w:hAnsi="Helvetica"/>
          <w:color w:val="000000"/>
        </w:rPr>
        <w:t>Additional Contributions:</w:t>
      </w:r>
      <w:r>
        <w:rPr>
          <w:rFonts w:ascii="Helvetica" w:hAnsi="Helvetica"/>
          <w:color w:val="333333"/>
        </w:rPr>
        <w:t> We acknowledge Jon Wakefield, PhD, University of Washington, with permission, for his help with accessing data and comments on the manuscript. Dr Wakefield did not receive compensation.</w:t>
      </w:r>
    </w:p>
    <w:p w:rsidR="001C1417" w:rsidRDefault="001C1417" w:rsidP="001C1417">
      <w:pPr>
        <w:rPr>
          <w:rFonts w:ascii="Helvetica" w:hAnsi="Helvetica"/>
          <w:color w:val="0084C0"/>
          <w:sz w:val="42"/>
          <w:szCs w:val="42"/>
        </w:rPr>
      </w:pPr>
      <w:r>
        <w:rPr>
          <w:rFonts w:ascii="Helvetica" w:hAnsi="Helvetica"/>
          <w:color w:val="0084C0"/>
          <w:sz w:val="42"/>
          <w:szCs w:val="42"/>
        </w:rPr>
        <w:t>References</w:t>
      </w:r>
    </w:p>
    <w:p w:rsidR="001C1417" w:rsidRDefault="001C1417" w:rsidP="001C1417">
      <w:pPr>
        <w:rPr>
          <w:rFonts w:ascii="Helvetica" w:hAnsi="Helvetica"/>
          <w:color w:val="333333"/>
          <w:sz w:val="24"/>
          <w:szCs w:val="24"/>
        </w:rPr>
      </w:pPr>
      <w:r>
        <w:rPr>
          <w:rFonts w:ascii="Helvetica" w:hAnsi="Helvetica"/>
          <w:color w:val="333333"/>
        </w:rPr>
        <w:t>1.</w:t>
      </w:r>
    </w:p>
    <w:p w:rsidR="001C1417" w:rsidRDefault="001C1417" w:rsidP="001C1417">
      <w:pPr>
        <w:rPr>
          <w:rFonts w:ascii="Helvetica" w:hAnsi="Helvetica"/>
          <w:color w:val="333333"/>
        </w:rPr>
      </w:pPr>
      <w:r>
        <w:rPr>
          <w:rFonts w:ascii="Helvetica" w:hAnsi="Helvetica"/>
          <w:color w:val="333333"/>
        </w:rPr>
        <w:t xml:space="preserve">Wong H. Estimation of total mortality due to COVID-19. Institute for Health Metrics and Evaluation. </w:t>
      </w:r>
      <w:proofErr w:type="gramStart"/>
      <w:r>
        <w:rPr>
          <w:rFonts w:ascii="Helvetica" w:hAnsi="Helvetica"/>
          <w:color w:val="333333"/>
        </w:rPr>
        <w:t>Published October 15, 2021.</w:t>
      </w:r>
      <w:proofErr w:type="gramEnd"/>
      <w:r>
        <w:rPr>
          <w:rFonts w:ascii="Helvetica" w:hAnsi="Helvetica"/>
          <w:color w:val="333333"/>
        </w:rPr>
        <w:t xml:space="preserve"> </w:t>
      </w:r>
      <w:proofErr w:type="gramStart"/>
      <w:r>
        <w:rPr>
          <w:rFonts w:ascii="Helvetica" w:hAnsi="Helvetica"/>
          <w:color w:val="333333"/>
        </w:rPr>
        <w:t>Accessed June 24, 2021.</w:t>
      </w:r>
      <w:proofErr w:type="gramEnd"/>
      <w:r>
        <w:rPr>
          <w:rFonts w:ascii="Helvetica" w:hAnsi="Helvetica"/>
          <w:color w:val="333333"/>
        </w:rPr>
        <w:t> </w:t>
      </w:r>
      <w:hyperlink r:id="rId29" w:history="1">
        <w:r>
          <w:rPr>
            <w:rStyle w:val="Hyperlink"/>
            <w:rFonts w:ascii="Helvetica" w:hAnsi="Helvetica"/>
            <w:color w:val="005276"/>
          </w:rPr>
          <w:t>https://www.healthdata.org/special-analysis/estimation-excess-mortality-due-covid-19-and-scalars-reported-covid-19-deaths</w:t>
        </w:r>
      </w:hyperlink>
    </w:p>
    <w:p w:rsidR="001C1417" w:rsidRDefault="001C1417" w:rsidP="001C1417">
      <w:pPr>
        <w:rPr>
          <w:rFonts w:ascii="Helvetica" w:hAnsi="Helvetica"/>
          <w:color w:val="333333"/>
        </w:rPr>
      </w:pPr>
      <w:r>
        <w:rPr>
          <w:rFonts w:ascii="Helvetica" w:hAnsi="Helvetica"/>
          <w:color w:val="333333"/>
        </w:rPr>
        <w:t>2.</w:t>
      </w:r>
    </w:p>
    <w:p w:rsidR="001C1417" w:rsidRDefault="001C1417" w:rsidP="001C1417">
      <w:pPr>
        <w:rPr>
          <w:rFonts w:ascii="Helvetica" w:hAnsi="Helvetica"/>
          <w:color w:val="333333"/>
        </w:rPr>
      </w:pPr>
      <w:proofErr w:type="gramStart"/>
      <w:r>
        <w:rPr>
          <w:rFonts w:ascii="Helvetica" w:hAnsi="Helvetica"/>
          <w:color w:val="333333"/>
        </w:rPr>
        <w:t>Tracking covid-19 excess deaths across countries.</w:t>
      </w:r>
      <w:proofErr w:type="gramEnd"/>
      <w:r>
        <w:rPr>
          <w:rFonts w:ascii="Helvetica" w:hAnsi="Helvetica"/>
          <w:color w:val="333333"/>
        </w:rPr>
        <w:t> </w:t>
      </w:r>
      <w:proofErr w:type="gramStart"/>
      <w:r>
        <w:rPr>
          <w:rFonts w:ascii="Helvetica" w:hAnsi="Helvetica"/>
          <w:i/>
          <w:iCs/>
          <w:color w:val="333333"/>
        </w:rPr>
        <w:t>The Economist</w:t>
      </w:r>
      <w:r>
        <w:rPr>
          <w:rFonts w:ascii="Helvetica" w:hAnsi="Helvetica"/>
          <w:color w:val="333333"/>
        </w:rPr>
        <w:t>.</w:t>
      </w:r>
      <w:proofErr w:type="gramEnd"/>
      <w:r>
        <w:rPr>
          <w:rFonts w:ascii="Helvetica" w:hAnsi="Helvetica"/>
          <w:color w:val="333333"/>
        </w:rPr>
        <w:t xml:space="preserve"> </w:t>
      </w:r>
      <w:proofErr w:type="gramStart"/>
      <w:r>
        <w:rPr>
          <w:rFonts w:ascii="Helvetica" w:hAnsi="Helvetica"/>
          <w:color w:val="333333"/>
        </w:rPr>
        <w:t>Published October 20, 2021.</w:t>
      </w:r>
      <w:proofErr w:type="gramEnd"/>
      <w:r>
        <w:rPr>
          <w:rFonts w:ascii="Helvetica" w:hAnsi="Helvetica"/>
          <w:color w:val="333333"/>
        </w:rPr>
        <w:t xml:space="preserve"> </w:t>
      </w:r>
      <w:proofErr w:type="gramStart"/>
      <w:r>
        <w:rPr>
          <w:rFonts w:ascii="Helvetica" w:hAnsi="Helvetica"/>
          <w:color w:val="333333"/>
        </w:rPr>
        <w:t>Accessed April 24, 2022.</w:t>
      </w:r>
      <w:proofErr w:type="gramEnd"/>
      <w:r>
        <w:rPr>
          <w:rFonts w:ascii="Helvetica" w:hAnsi="Helvetica"/>
          <w:color w:val="333333"/>
        </w:rPr>
        <w:t> </w:t>
      </w:r>
      <w:hyperlink r:id="rId30" w:history="1">
        <w:r>
          <w:rPr>
            <w:rStyle w:val="Hyperlink"/>
            <w:rFonts w:ascii="Helvetica" w:hAnsi="Helvetica"/>
            <w:color w:val="005276"/>
          </w:rPr>
          <w:t>https://www.economist.com/graphic-detail/coronavirus-excess-deaths-tracker</w:t>
        </w:r>
      </w:hyperlink>
    </w:p>
    <w:p w:rsidR="001C1417" w:rsidRDefault="001C1417" w:rsidP="001C1417">
      <w:pPr>
        <w:rPr>
          <w:rFonts w:ascii="Helvetica" w:hAnsi="Helvetica"/>
          <w:color w:val="333333"/>
        </w:rPr>
      </w:pPr>
      <w:r>
        <w:rPr>
          <w:rFonts w:ascii="Helvetica" w:hAnsi="Helvetica"/>
          <w:color w:val="333333"/>
        </w:rPr>
        <w:t>3.</w:t>
      </w:r>
    </w:p>
    <w:p w:rsidR="001C1417" w:rsidRDefault="001C1417" w:rsidP="001C1417">
      <w:pPr>
        <w:rPr>
          <w:rFonts w:ascii="Helvetica" w:hAnsi="Helvetica"/>
          <w:color w:val="333333"/>
        </w:rPr>
      </w:pPr>
      <w:proofErr w:type="gramStart"/>
      <w:r>
        <w:rPr>
          <w:rFonts w:ascii="Helvetica" w:hAnsi="Helvetica"/>
          <w:color w:val="333333"/>
        </w:rPr>
        <w:t>World Health Organization.</w:t>
      </w:r>
      <w:proofErr w:type="gramEnd"/>
      <w:r>
        <w:rPr>
          <w:rFonts w:ascii="Helvetica" w:hAnsi="Helvetica"/>
          <w:color w:val="333333"/>
        </w:rPr>
        <w:t xml:space="preserve"> 14.9 Million </w:t>
      </w:r>
      <w:proofErr w:type="gramStart"/>
      <w:r>
        <w:rPr>
          <w:rFonts w:ascii="Helvetica" w:hAnsi="Helvetica"/>
          <w:color w:val="333333"/>
        </w:rPr>
        <w:t>excess</w:t>
      </w:r>
      <w:proofErr w:type="gramEnd"/>
      <w:r>
        <w:rPr>
          <w:rFonts w:ascii="Helvetica" w:hAnsi="Helvetica"/>
          <w:color w:val="333333"/>
        </w:rPr>
        <w:t xml:space="preserve"> deaths associated with the COVID-19 pandemic in 2020 and 2021 [press release]. </w:t>
      </w:r>
      <w:proofErr w:type="gramStart"/>
      <w:r>
        <w:rPr>
          <w:rFonts w:ascii="Helvetica" w:hAnsi="Helvetica"/>
          <w:color w:val="333333"/>
        </w:rPr>
        <w:t>World Health Organization.</w:t>
      </w:r>
      <w:proofErr w:type="gramEnd"/>
      <w:r>
        <w:rPr>
          <w:rFonts w:ascii="Helvetica" w:hAnsi="Helvetica"/>
          <w:color w:val="333333"/>
        </w:rPr>
        <w:t xml:space="preserve"> May 5, 2022. </w:t>
      </w:r>
      <w:proofErr w:type="gramStart"/>
      <w:r>
        <w:rPr>
          <w:rFonts w:ascii="Helvetica" w:hAnsi="Helvetica"/>
          <w:color w:val="333333"/>
        </w:rPr>
        <w:t>Accessed May 5, 2022.</w:t>
      </w:r>
      <w:proofErr w:type="gramEnd"/>
      <w:r>
        <w:rPr>
          <w:rFonts w:ascii="Helvetica" w:hAnsi="Helvetica"/>
          <w:color w:val="333333"/>
        </w:rPr>
        <w:t> </w:t>
      </w:r>
      <w:hyperlink r:id="rId31" w:history="1">
        <w:r>
          <w:rPr>
            <w:rStyle w:val="Hyperlink"/>
            <w:rFonts w:ascii="Helvetica" w:hAnsi="Helvetica"/>
            <w:color w:val="005276"/>
          </w:rPr>
          <w:t>https://www.who.int/news/item/05-05-2022-14.9-million-excess-deaths-were-associated-with-the-covid-19-pandemic-in-2020-and-2021</w:t>
        </w:r>
      </w:hyperlink>
    </w:p>
    <w:p w:rsidR="001C1417" w:rsidRDefault="001C1417" w:rsidP="001C1417">
      <w:pPr>
        <w:rPr>
          <w:rFonts w:ascii="Helvetica" w:hAnsi="Helvetica"/>
          <w:color w:val="333333"/>
        </w:rPr>
      </w:pPr>
      <w:r>
        <w:rPr>
          <w:rFonts w:ascii="Helvetica" w:hAnsi="Helvetica"/>
          <w:color w:val="333333"/>
        </w:rPr>
        <w:t>4.</w:t>
      </w:r>
    </w:p>
    <w:p w:rsidR="001C1417" w:rsidRDefault="001C1417" w:rsidP="001C1417">
      <w:pPr>
        <w:rPr>
          <w:rFonts w:ascii="Helvetica" w:hAnsi="Helvetica"/>
          <w:color w:val="333333"/>
        </w:rPr>
      </w:pPr>
      <w:proofErr w:type="gramStart"/>
      <w:r>
        <w:rPr>
          <w:rFonts w:ascii="Helvetica" w:hAnsi="Helvetica"/>
          <w:color w:val="333333"/>
        </w:rPr>
        <w:t>Unwin  HJT</w:t>
      </w:r>
      <w:proofErr w:type="gramEnd"/>
      <w:r>
        <w:rPr>
          <w:rFonts w:ascii="Tahoma" w:hAnsi="Tahoma" w:cs="Tahoma"/>
          <w:color w:val="333333"/>
        </w:rPr>
        <w:t>﻿</w:t>
      </w:r>
      <w:r>
        <w:rPr>
          <w:rFonts w:ascii="Helvetica" w:hAnsi="Helvetica"/>
          <w:color w:val="333333"/>
        </w:rPr>
        <w:t xml:space="preserve">, Hillis </w:t>
      </w:r>
      <w:r>
        <w:rPr>
          <w:rFonts w:ascii="Helvetica" w:hAnsi="Helvetica" w:cs="Helvetica"/>
          <w:color w:val="333333"/>
        </w:rPr>
        <w:t> </w:t>
      </w:r>
      <w:r>
        <w:rPr>
          <w:rFonts w:ascii="Helvetica" w:hAnsi="Helvetica"/>
          <w:color w:val="333333"/>
        </w:rPr>
        <w:t>S</w:t>
      </w:r>
      <w:r>
        <w:rPr>
          <w:rFonts w:ascii="Tahoma" w:hAnsi="Tahoma" w:cs="Tahoma"/>
          <w:color w:val="333333"/>
        </w:rPr>
        <w:t>﻿</w:t>
      </w:r>
      <w:r>
        <w:rPr>
          <w:rFonts w:ascii="Helvetica" w:hAnsi="Helvetica"/>
          <w:color w:val="333333"/>
        </w:rPr>
        <w:t xml:space="preserve">, Cluver </w:t>
      </w:r>
      <w:r>
        <w:rPr>
          <w:rFonts w:ascii="Helvetica" w:hAnsi="Helvetica" w:cs="Helvetica"/>
          <w:color w:val="333333"/>
        </w:rPr>
        <w:t> </w:t>
      </w:r>
      <w:r>
        <w:rPr>
          <w:rFonts w:ascii="Helvetica" w:hAnsi="Helvetica"/>
          <w:color w:val="333333"/>
        </w:rPr>
        <w:t>L</w:t>
      </w:r>
      <w:r>
        <w:rPr>
          <w:rFonts w:ascii="Tahoma" w:hAnsi="Tahoma" w:cs="Tahoma"/>
          <w:color w:val="333333"/>
        </w:rPr>
        <w:t>﻿</w:t>
      </w:r>
      <w:r>
        <w:rPr>
          <w:rFonts w:ascii="Helvetica" w:hAnsi="Helvetica"/>
          <w:color w:val="333333"/>
        </w:rPr>
        <w:t xml:space="preserve">, </w:t>
      </w:r>
      <w:r>
        <w:rPr>
          <w:rFonts w:ascii="Helvetica" w:hAnsi="Helvetica" w:cs="Helvetica"/>
          <w:color w:val="333333"/>
        </w:rPr>
        <w:t> </w:t>
      </w:r>
      <w:r>
        <w:rPr>
          <w:rFonts w:ascii="Helvetica" w:hAnsi="Helvetica"/>
          <w:color w:val="333333"/>
        </w:rPr>
        <w:t xml:space="preserve">et al. </w:t>
      </w:r>
      <w:r>
        <w:rPr>
          <w:rFonts w:ascii="Helvetica" w:hAnsi="Helvetica" w:cs="Helvetica"/>
          <w:color w:val="333333"/>
        </w:rPr>
        <w:t> </w:t>
      </w:r>
      <w:r>
        <w:rPr>
          <w:rFonts w:ascii="Helvetica" w:hAnsi="Helvetica"/>
          <w:color w:val="333333"/>
        </w:rPr>
        <w:t>Global, regional, and national minimum estimates of children affected by COVID-19-associated orphanhood and caregiver death, by age and family circumstance up to Oct 31, 2021: an updated modelling study. </w:t>
      </w:r>
      <w:r>
        <w:rPr>
          <w:rFonts w:ascii="Tahoma" w:hAnsi="Tahoma" w:cs="Tahoma"/>
          <w:color w:val="333333"/>
        </w:rPr>
        <w:t>﻿</w:t>
      </w:r>
      <w:r>
        <w:rPr>
          <w:rFonts w:ascii="Helvetica" w:hAnsi="Helvetica"/>
          <w:color w:val="333333"/>
        </w:rPr>
        <w:t> </w:t>
      </w:r>
      <w:r>
        <w:rPr>
          <w:rFonts w:ascii="Helvetica" w:hAnsi="Helvetica"/>
          <w:i/>
          <w:iCs/>
          <w:color w:val="333333"/>
        </w:rPr>
        <w:t> </w:t>
      </w:r>
      <w:proofErr w:type="gramStart"/>
      <w:r>
        <w:rPr>
          <w:rFonts w:ascii="Helvetica" w:hAnsi="Helvetica"/>
          <w:i/>
          <w:iCs/>
          <w:color w:val="333333"/>
        </w:rPr>
        <w:t>Lancet Child Adolesc Health</w:t>
      </w:r>
      <w:r>
        <w:rPr>
          <w:rFonts w:ascii="Helvetica" w:hAnsi="Helvetica"/>
          <w:color w:val="333333"/>
        </w:rPr>
        <w:t>.</w:t>
      </w:r>
      <w:proofErr w:type="gramEnd"/>
      <w:r>
        <w:rPr>
          <w:rFonts w:ascii="Helvetica" w:hAnsi="Helvetica"/>
          <w:color w:val="333333"/>
        </w:rPr>
        <w:t xml:space="preserve"> 2022</w:t>
      </w:r>
      <w:proofErr w:type="gramStart"/>
      <w:r>
        <w:rPr>
          <w:rFonts w:ascii="Helvetica" w:hAnsi="Helvetica"/>
          <w:color w:val="333333"/>
        </w:rPr>
        <w:t>;6</w:t>
      </w:r>
      <w:proofErr w:type="gramEnd"/>
      <w:r>
        <w:rPr>
          <w:rFonts w:ascii="Helvetica" w:hAnsi="Helvetica"/>
          <w:color w:val="333333"/>
        </w:rPr>
        <w:t>(4):249-259. doi:</w:t>
      </w:r>
      <w:hyperlink r:id="rId32" w:history="1">
        <w:r>
          <w:rPr>
            <w:rStyle w:val="Hyperlink"/>
            <w:rFonts w:ascii="Helvetica" w:hAnsi="Helvetica"/>
            <w:color w:val="005276"/>
          </w:rPr>
          <w:t>10.1016/S2352-4642(22)00005-0</w:t>
        </w:r>
      </w:hyperlink>
      <w:hyperlink r:id="rId33" w:tgtFrame="_blank" w:history="1">
        <w:r>
          <w:rPr>
            <w:rStyle w:val="Hyperlink"/>
            <w:rFonts w:ascii="Helvetica" w:hAnsi="Helvetica"/>
            <w:color w:val="005276"/>
          </w:rPr>
          <w:t>PubMed</w:t>
        </w:r>
      </w:hyperlink>
      <w:hyperlink r:id="rId34" w:tgtFrame="_blank" w:history="1">
        <w:r>
          <w:rPr>
            <w:rStyle w:val="Hyperlink"/>
            <w:rFonts w:ascii="Helvetica" w:hAnsi="Helvetica"/>
            <w:color w:val="005276"/>
          </w:rPr>
          <w:t>Google Scholar</w:t>
        </w:r>
      </w:hyperlink>
      <w:hyperlink r:id="rId35" w:tgtFrame="_blank" w:history="1">
        <w:r>
          <w:rPr>
            <w:rStyle w:val="Hyperlink"/>
            <w:rFonts w:ascii="Helvetica" w:hAnsi="Helvetica"/>
            <w:color w:val="005276"/>
          </w:rPr>
          <w:t>Crossref</w:t>
        </w:r>
      </w:hyperlink>
    </w:p>
    <w:p w:rsidR="001C1417" w:rsidRDefault="001C1417" w:rsidP="001C1417">
      <w:pPr>
        <w:rPr>
          <w:rFonts w:ascii="Helvetica" w:hAnsi="Helvetica"/>
          <w:color w:val="333333"/>
        </w:rPr>
      </w:pPr>
      <w:r>
        <w:rPr>
          <w:rFonts w:ascii="Helvetica" w:hAnsi="Helvetica"/>
          <w:color w:val="333333"/>
        </w:rPr>
        <w:t>5.</w:t>
      </w:r>
    </w:p>
    <w:p w:rsidR="001C1417" w:rsidRDefault="001C1417" w:rsidP="001C1417">
      <w:pPr>
        <w:rPr>
          <w:rFonts w:ascii="Helvetica" w:hAnsi="Helvetica"/>
          <w:color w:val="333333"/>
        </w:rPr>
      </w:pPr>
      <w:proofErr w:type="gramStart"/>
      <w:r>
        <w:rPr>
          <w:rFonts w:ascii="Helvetica" w:hAnsi="Helvetica"/>
          <w:color w:val="333333"/>
        </w:rPr>
        <w:lastRenderedPageBreak/>
        <w:t>Thomas  T</w:t>
      </w:r>
      <w:proofErr w:type="gramEnd"/>
      <w:r>
        <w:rPr>
          <w:rFonts w:ascii="Tahoma" w:hAnsi="Tahoma" w:cs="Tahoma"/>
          <w:color w:val="333333"/>
        </w:rPr>
        <w:t>﻿</w:t>
      </w:r>
      <w:r>
        <w:rPr>
          <w:rFonts w:ascii="Helvetica" w:hAnsi="Helvetica"/>
          <w:color w:val="333333"/>
        </w:rPr>
        <w:t xml:space="preserve">, Tan </w:t>
      </w:r>
      <w:r>
        <w:rPr>
          <w:rFonts w:ascii="Helvetica" w:hAnsi="Helvetica" w:cs="Helvetica"/>
          <w:color w:val="333333"/>
        </w:rPr>
        <w:t> </w:t>
      </w:r>
      <w:r>
        <w:rPr>
          <w:rFonts w:ascii="Helvetica" w:hAnsi="Helvetica"/>
          <w:color w:val="333333"/>
        </w:rPr>
        <w:t>M</w:t>
      </w:r>
      <w:r>
        <w:rPr>
          <w:rFonts w:ascii="Tahoma" w:hAnsi="Tahoma" w:cs="Tahoma"/>
          <w:color w:val="333333"/>
        </w:rPr>
        <w:t>﻿</w:t>
      </w:r>
      <w:r>
        <w:rPr>
          <w:rFonts w:ascii="Helvetica" w:hAnsi="Helvetica"/>
          <w:color w:val="333333"/>
        </w:rPr>
        <w:t xml:space="preserve">, Ahmed </w:t>
      </w:r>
      <w:r>
        <w:rPr>
          <w:rFonts w:ascii="Helvetica" w:hAnsi="Helvetica" w:cs="Helvetica"/>
          <w:color w:val="333333"/>
        </w:rPr>
        <w:t> </w:t>
      </w:r>
      <w:r>
        <w:rPr>
          <w:rFonts w:ascii="Helvetica" w:hAnsi="Helvetica"/>
          <w:color w:val="333333"/>
        </w:rPr>
        <w:t>Y</w:t>
      </w:r>
      <w:r>
        <w:rPr>
          <w:rFonts w:ascii="Tahoma" w:hAnsi="Tahoma" w:cs="Tahoma"/>
          <w:color w:val="333333"/>
        </w:rPr>
        <w:t>﻿</w:t>
      </w:r>
      <w:r>
        <w:rPr>
          <w:rFonts w:ascii="Helvetica" w:hAnsi="Helvetica"/>
          <w:color w:val="333333"/>
        </w:rPr>
        <w:t>, Grigorenko  EL</w:t>
      </w:r>
      <w:r>
        <w:rPr>
          <w:rFonts w:ascii="Tahoma" w:hAnsi="Tahoma" w:cs="Tahoma"/>
          <w:color w:val="333333"/>
        </w:rPr>
        <w:t>﻿</w:t>
      </w:r>
      <w:r>
        <w:rPr>
          <w:rFonts w:ascii="Helvetica" w:hAnsi="Helvetica"/>
          <w:color w:val="333333"/>
        </w:rPr>
        <w:t xml:space="preserve">. </w:t>
      </w:r>
      <w:r>
        <w:rPr>
          <w:rFonts w:ascii="Helvetica" w:hAnsi="Helvetica" w:cs="Helvetica"/>
          <w:color w:val="333333"/>
        </w:rPr>
        <w:t> </w:t>
      </w:r>
      <w:proofErr w:type="gramStart"/>
      <w:r>
        <w:rPr>
          <w:rFonts w:ascii="Helvetica" w:hAnsi="Helvetica"/>
          <w:color w:val="333333"/>
        </w:rPr>
        <w:t>A Systematic review and meta-analysis of interventions for orphans and vulnerable children affected by HIV/AIDS worldwide.</w:t>
      </w:r>
      <w:proofErr w:type="gramEnd"/>
      <w:r>
        <w:rPr>
          <w:rFonts w:ascii="Helvetica" w:hAnsi="Helvetica" w:cs="Helvetica"/>
          <w:color w:val="333333"/>
        </w:rPr>
        <w:t> </w:t>
      </w:r>
      <w:r>
        <w:rPr>
          <w:rFonts w:ascii="Tahoma" w:hAnsi="Tahoma" w:cs="Tahoma"/>
          <w:color w:val="333333"/>
        </w:rPr>
        <w:t>﻿</w:t>
      </w:r>
      <w:r>
        <w:rPr>
          <w:rFonts w:ascii="Helvetica" w:hAnsi="Helvetica"/>
          <w:color w:val="333333"/>
        </w:rPr>
        <w:t> </w:t>
      </w:r>
      <w:r>
        <w:rPr>
          <w:rFonts w:ascii="Helvetica" w:hAnsi="Helvetica"/>
          <w:i/>
          <w:iCs/>
          <w:color w:val="333333"/>
        </w:rPr>
        <w:t> Ann Behav Med</w:t>
      </w:r>
      <w:r>
        <w:rPr>
          <w:rFonts w:ascii="Helvetica" w:hAnsi="Helvetica"/>
          <w:color w:val="333333"/>
        </w:rPr>
        <w:t>. 2020</w:t>
      </w:r>
      <w:proofErr w:type="gramStart"/>
      <w:r>
        <w:rPr>
          <w:rFonts w:ascii="Helvetica" w:hAnsi="Helvetica"/>
          <w:color w:val="333333"/>
        </w:rPr>
        <w:t>;54</w:t>
      </w:r>
      <w:proofErr w:type="gramEnd"/>
      <w:r>
        <w:rPr>
          <w:rFonts w:ascii="Helvetica" w:hAnsi="Helvetica"/>
          <w:color w:val="333333"/>
        </w:rPr>
        <w:t>(11):853-866. doi:</w:t>
      </w:r>
      <w:hyperlink r:id="rId36" w:history="1">
        <w:r>
          <w:rPr>
            <w:rStyle w:val="Hyperlink"/>
            <w:rFonts w:ascii="Helvetica" w:hAnsi="Helvetica"/>
            <w:color w:val="005276"/>
          </w:rPr>
          <w:t>10.1093/abm/kaaa022</w:t>
        </w:r>
      </w:hyperlink>
      <w:hyperlink r:id="rId37" w:tgtFrame="_blank" w:history="1">
        <w:r>
          <w:rPr>
            <w:rStyle w:val="Hyperlink"/>
            <w:rFonts w:ascii="Helvetica" w:hAnsi="Helvetica"/>
            <w:color w:val="005276"/>
          </w:rPr>
          <w:t>PubMed</w:t>
        </w:r>
      </w:hyperlink>
      <w:hyperlink r:id="rId38" w:tgtFrame="_blank" w:history="1">
        <w:r>
          <w:rPr>
            <w:rStyle w:val="Hyperlink"/>
            <w:rFonts w:ascii="Helvetica" w:hAnsi="Helvetica"/>
            <w:color w:val="005276"/>
          </w:rPr>
          <w:t>Google Scholar</w:t>
        </w:r>
      </w:hyperlink>
      <w:hyperlink r:id="rId39" w:tgtFrame="_blank" w:history="1">
        <w:r>
          <w:rPr>
            <w:rStyle w:val="Hyperlink"/>
            <w:rFonts w:ascii="Helvetica" w:hAnsi="Helvetica"/>
            <w:color w:val="005276"/>
          </w:rPr>
          <w:t>Crossref</w:t>
        </w:r>
      </w:hyperlink>
    </w:p>
    <w:p w:rsidR="001C1417" w:rsidRDefault="001C1417" w:rsidP="001C1417">
      <w:pPr>
        <w:rPr>
          <w:rFonts w:ascii="Helvetica" w:hAnsi="Helvetica"/>
          <w:color w:val="333333"/>
        </w:rPr>
      </w:pPr>
      <w:r>
        <w:rPr>
          <w:rFonts w:ascii="Helvetica" w:hAnsi="Helvetica"/>
          <w:color w:val="333333"/>
        </w:rPr>
        <w:t>6.</w:t>
      </w:r>
    </w:p>
    <w:p w:rsidR="001C1417" w:rsidRDefault="001C1417" w:rsidP="001C1417">
      <w:pPr>
        <w:rPr>
          <w:rFonts w:ascii="Helvetica" w:hAnsi="Helvetica"/>
          <w:color w:val="333333"/>
        </w:rPr>
      </w:pPr>
      <w:r>
        <w:rPr>
          <w:rFonts w:ascii="Helvetica" w:hAnsi="Helvetica"/>
          <w:color w:val="333333"/>
        </w:rPr>
        <w:t xml:space="preserve">Global Orphanhood estimates real time calculator. </w:t>
      </w:r>
      <w:proofErr w:type="gramStart"/>
      <w:r>
        <w:rPr>
          <w:rFonts w:ascii="Helvetica" w:hAnsi="Helvetica"/>
          <w:color w:val="333333"/>
        </w:rPr>
        <w:t>Imperial College London.</w:t>
      </w:r>
      <w:proofErr w:type="gramEnd"/>
      <w:r>
        <w:rPr>
          <w:rFonts w:ascii="Helvetica" w:hAnsi="Helvetica"/>
          <w:color w:val="333333"/>
        </w:rPr>
        <w:t xml:space="preserve"> </w:t>
      </w:r>
      <w:proofErr w:type="gramStart"/>
      <w:r>
        <w:rPr>
          <w:rFonts w:ascii="Helvetica" w:hAnsi="Helvetica"/>
          <w:color w:val="333333"/>
        </w:rPr>
        <w:t>Published February 14, 2022.</w:t>
      </w:r>
      <w:proofErr w:type="gramEnd"/>
      <w:r>
        <w:rPr>
          <w:rFonts w:ascii="Helvetica" w:hAnsi="Helvetica"/>
          <w:color w:val="333333"/>
        </w:rPr>
        <w:t xml:space="preserve"> </w:t>
      </w:r>
      <w:proofErr w:type="gramStart"/>
      <w:r>
        <w:rPr>
          <w:rFonts w:ascii="Helvetica" w:hAnsi="Helvetica"/>
          <w:color w:val="333333"/>
        </w:rPr>
        <w:t>Accessed May 6, 2022.</w:t>
      </w:r>
      <w:proofErr w:type="gramEnd"/>
      <w:r>
        <w:rPr>
          <w:rFonts w:ascii="Helvetica" w:hAnsi="Helvetica"/>
          <w:color w:val="333333"/>
        </w:rPr>
        <w:t> </w:t>
      </w:r>
      <w:hyperlink r:id="rId40" w:anchor="/country/Global" w:history="1">
        <w:r>
          <w:rPr>
            <w:rStyle w:val="Hyperlink"/>
            <w:rFonts w:ascii="Helvetica" w:hAnsi="Helvetica"/>
            <w:color w:val="005276"/>
          </w:rPr>
          <w:t>https://imperialcollegelondon.github.io/orphanhood_calculator/#/country/Global</w:t>
        </w:r>
      </w:hyperlink>
    </w:p>
    <w:p w:rsidR="001C1417" w:rsidRDefault="001C1417"/>
    <w:sectPr w:rsidR="001C14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417"/>
    <w:rsid w:val="001C1417"/>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14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1417"/>
    <w:rPr>
      <w:rFonts w:ascii="Times New Roman" w:eastAsia="Times New Roman" w:hAnsi="Times New Roman" w:cs="Times New Roman"/>
      <w:b/>
      <w:bCs/>
      <w:kern w:val="36"/>
      <w:sz w:val="48"/>
      <w:szCs w:val="48"/>
    </w:rPr>
  </w:style>
  <w:style w:type="paragraph" w:styleId="Date">
    <w:name w:val="Date"/>
    <w:basedOn w:val="Normal"/>
    <w:next w:val="Normal"/>
    <w:link w:val="DateChar"/>
    <w:uiPriority w:val="99"/>
    <w:semiHidden/>
    <w:unhideWhenUsed/>
    <w:rsid w:val="001C1417"/>
  </w:style>
  <w:style w:type="character" w:customStyle="1" w:styleId="DateChar">
    <w:name w:val="Date Char"/>
    <w:basedOn w:val="DefaultParagraphFont"/>
    <w:link w:val="Date"/>
    <w:uiPriority w:val="99"/>
    <w:semiHidden/>
    <w:rsid w:val="001C1417"/>
  </w:style>
  <w:style w:type="character" w:styleId="Hyperlink">
    <w:name w:val="Hyperlink"/>
    <w:basedOn w:val="DefaultParagraphFont"/>
    <w:uiPriority w:val="99"/>
    <w:unhideWhenUsed/>
    <w:rsid w:val="001C1417"/>
    <w:rPr>
      <w:color w:val="0000FF" w:themeColor="hyperlink"/>
      <w:u w:val="single"/>
    </w:rPr>
  </w:style>
  <w:style w:type="character" w:customStyle="1" w:styleId="meta-authors--limited">
    <w:name w:val="meta-authors--limited"/>
    <w:basedOn w:val="DefaultParagraphFont"/>
    <w:rsid w:val="001C1417"/>
  </w:style>
  <w:style w:type="character" w:customStyle="1" w:styleId="wi-fullname">
    <w:name w:val="wi-fullname"/>
    <w:basedOn w:val="DefaultParagraphFont"/>
    <w:rsid w:val="001C1417"/>
  </w:style>
  <w:style w:type="character" w:customStyle="1" w:styleId="al-author-delim">
    <w:name w:val="al-author-delim"/>
    <w:basedOn w:val="DefaultParagraphFont"/>
    <w:rsid w:val="001C1417"/>
  </w:style>
  <w:style w:type="character" w:customStyle="1" w:styleId="meta-citation-journal-name">
    <w:name w:val="meta-citation-journal-name"/>
    <w:basedOn w:val="DefaultParagraphFont"/>
    <w:rsid w:val="001C1417"/>
  </w:style>
  <w:style w:type="character" w:customStyle="1" w:styleId="meta-citation">
    <w:name w:val="meta-citation"/>
    <w:basedOn w:val="DefaultParagraphFont"/>
    <w:rsid w:val="001C1417"/>
  </w:style>
  <w:style w:type="paragraph" w:customStyle="1" w:styleId="para">
    <w:name w:val="para"/>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1417"/>
    <w:rPr>
      <w:b/>
      <w:bCs/>
    </w:rPr>
  </w:style>
  <w:style w:type="paragraph" w:customStyle="1" w:styleId="parapublished-online">
    <w:name w:val="parapublished-onlin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infosection">
    <w:name w:val="authorinfosection"/>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correction-note">
    <w:name w:val="paracorrection-not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open-access-note">
    <w:name w:val="paraopen-access-not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author-contributions">
    <w:name w:val="paraauthor-contributions"/>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financial-disclosure">
    <w:name w:val="parafinancial-disclosur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funding-statement">
    <w:name w:val="parafunding-statement"/>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14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1417"/>
    <w:rPr>
      <w:rFonts w:ascii="Times New Roman" w:eastAsia="Times New Roman" w:hAnsi="Times New Roman" w:cs="Times New Roman"/>
      <w:b/>
      <w:bCs/>
      <w:kern w:val="36"/>
      <w:sz w:val="48"/>
      <w:szCs w:val="48"/>
    </w:rPr>
  </w:style>
  <w:style w:type="paragraph" w:styleId="Date">
    <w:name w:val="Date"/>
    <w:basedOn w:val="Normal"/>
    <w:next w:val="Normal"/>
    <w:link w:val="DateChar"/>
    <w:uiPriority w:val="99"/>
    <w:semiHidden/>
    <w:unhideWhenUsed/>
    <w:rsid w:val="001C1417"/>
  </w:style>
  <w:style w:type="character" w:customStyle="1" w:styleId="DateChar">
    <w:name w:val="Date Char"/>
    <w:basedOn w:val="DefaultParagraphFont"/>
    <w:link w:val="Date"/>
    <w:uiPriority w:val="99"/>
    <w:semiHidden/>
    <w:rsid w:val="001C1417"/>
  </w:style>
  <w:style w:type="character" w:styleId="Hyperlink">
    <w:name w:val="Hyperlink"/>
    <w:basedOn w:val="DefaultParagraphFont"/>
    <w:uiPriority w:val="99"/>
    <w:unhideWhenUsed/>
    <w:rsid w:val="001C1417"/>
    <w:rPr>
      <w:color w:val="0000FF" w:themeColor="hyperlink"/>
      <w:u w:val="single"/>
    </w:rPr>
  </w:style>
  <w:style w:type="character" w:customStyle="1" w:styleId="meta-authors--limited">
    <w:name w:val="meta-authors--limited"/>
    <w:basedOn w:val="DefaultParagraphFont"/>
    <w:rsid w:val="001C1417"/>
  </w:style>
  <w:style w:type="character" w:customStyle="1" w:styleId="wi-fullname">
    <w:name w:val="wi-fullname"/>
    <w:basedOn w:val="DefaultParagraphFont"/>
    <w:rsid w:val="001C1417"/>
  </w:style>
  <w:style w:type="character" w:customStyle="1" w:styleId="al-author-delim">
    <w:name w:val="al-author-delim"/>
    <w:basedOn w:val="DefaultParagraphFont"/>
    <w:rsid w:val="001C1417"/>
  </w:style>
  <w:style w:type="character" w:customStyle="1" w:styleId="meta-citation-journal-name">
    <w:name w:val="meta-citation-journal-name"/>
    <w:basedOn w:val="DefaultParagraphFont"/>
    <w:rsid w:val="001C1417"/>
  </w:style>
  <w:style w:type="character" w:customStyle="1" w:styleId="meta-citation">
    <w:name w:val="meta-citation"/>
    <w:basedOn w:val="DefaultParagraphFont"/>
    <w:rsid w:val="001C1417"/>
  </w:style>
  <w:style w:type="paragraph" w:customStyle="1" w:styleId="para">
    <w:name w:val="para"/>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1417"/>
    <w:rPr>
      <w:b/>
      <w:bCs/>
    </w:rPr>
  </w:style>
  <w:style w:type="paragraph" w:customStyle="1" w:styleId="parapublished-online">
    <w:name w:val="parapublished-onlin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infosection">
    <w:name w:val="authorinfosection"/>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correction-note">
    <w:name w:val="paracorrection-not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open-access-note">
    <w:name w:val="paraopen-access-not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author-contributions">
    <w:name w:val="paraauthor-contributions"/>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financial-disclosure">
    <w:name w:val="parafinancial-disclosure"/>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funding-statement">
    <w:name w:val="parafunding-statement"/>
    <w:basedOn w:val="Normal"/>
    <w:rsid w:val="001C14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5572">
      <w:bodyDiv w:val="1"/>
      <w:marLeft w:val="0"/>
      <w:marRight w:val="0"/>
      <w:marTop w:val="0"/>
      <w:marBottom w:val="0"/>
      <w:divBdr>
        <w:top w:val="none" w:sz="0" w:space="0" w:color="auto"/>
        <w:left w:val="none" w:sz="0" w:space="0" w:color="auto"/>
        <w:bottom w:val="none" w:sz="0" w:space="0" w:color="auto"/>
        <w:right w:val="none" w:sz="0" w:space="0" w:color="auto"/>
      </w:divBdr>
      <w:divsChild>
        <w:div w:id="870729695">
          <w:marLeft w:val="0"/>
          <w:marRight w:val="0"/>
          <w:marTop w:val="0"/>
          <w:marBottom w:val="180"/>
          <w:divBdr>
            <w:top w:val="none" w:sz="0" w:space="0" w:color="auto"/>
            <w:left w:val="none" w:sz="0" w:space="0" w:color="auto"/>
            <w:bottom w:val="none" w:sz="0" w:space="0" w:color="auto"/>
            <w:right w:val="none" w:sz="0" w:space="0" w:color="auto"/>
          </w:divBdr>
        </w:div>
        <w:div w:id="1113399321">
          <w:marLeft w:val="0"/>
          <w:marRight w:val="0"/>
          <w:marTop w:val="0"/>
          <w:marBottom w:val="120"/>
          <w:divBdr>
            <w:top w:val="none" w:sz="0" w:space="0" w:color="auto"/>
            <w:left w:val="none" w:sz="0" w:space="0" w:color="auto"/>
            <w:bottom w:val="none" w:sz="0" w:space="0" w:color="auto"/>
            <w:right w:val="none" w:sz="0" w:space="0" w:color="auto"/>
          </w:divBdr>
        </w:div>
        <w:div w:id="1763722862">
          <w:marLeft w:val="0"/>
          <w:marRight w:val="0"/>
          <w:marTop w:val="0"/>
          <w:marBottom w:val="0"/>
          <w:divBdr>
            <w:top w:val="none" w:sz="0" w:space="0" w:color="auto"/>
            <w:left w:val="none" w:sz="0" w:space="0" w:color="auto"/>
            <w:bottom w:val="none" w:sz="0" w:space="0" w:color="auto"/>
            <w:right w:val="none" w:sz="0" w:space="0" w:color="auto"/>
          </w:divBdr>
        </w:div>
      </w:divsChild>
    </w:div>
    <w:div w:id="213661139">
      <w:bodyDiv w:val="1"/>
      <w:marLeft w:val="0"/>
      <w:marRight w:val="0"/>
      <w:marTop w:val="0"/>
      <w:marBottom w:val="0"/>
      <w:divBdr>
        <w:top w:val="none" w:sz="0" w:space="0" w:color="auto"/>
        <w:left w:val="none" w:sz="0" w:space="0" w:color="auto"/>
        <w:bottom w:val="none" w:sz="0" w:space="0" w:color="auto"/>
        <w:right w:val="none" w:sz="0" w:space="0" w:color="auto"/>
      </w:divBdr>
    </w:div>
    <w:div w:id="261686931">
      <w:bodyDiv w:val="1"/>
      <w:marLeft w:val="0"/>
      <w:marRight w:val="0"/>
      <w:marTop w:val="0"/>
      <w:marBottom w:val="0"/>
      <w:divBdr>
        <w:top w:val="none" w:sz="0" w:space="0" w:color="auto"/>
        <w:left w:val="none" w:sz="0" w:space="0" w:color="auto"/>
        <w:bottom w:val="none" w:sz="0" w:space="0" w:color="auto"/>
        <w:right w:val="none" w:sz="0" w:space="0" w:color="auto"/>
      </w:divBdr>
      <w:divsChild>
        <w:div w:id="696543821">
          <w:marLeft w:val="0"/>
          <w:marRight w:val="0"/>
          <w:marTop w:val="48"/>
          <w:marBottom w:val="120"/>
          <w:divBdr>
            <w:top w:val="none" w:sz="0" w:space="0" w:color="auto"/>
            <w:left w:val="none" w:sz="0" w:space="0" w:color="auto"/>
            <w:bottom w:val="none" w:sz="0" w:space="0" w:color="auto"/>
            <w:right w:val="none" w:sz="0" w:space="0" w:color="auto"/>
          </w:divBdr>
          <w:divsChild>
            <w:div w:id="1032220094">
              <w:marLeft w:val="0"/>
              <w:marRight w:val="0"/>
              <w:marTop w:val="0"/>
              <w:marBottom w:val="0"/>
              <w:divBdr>
                <w:top w:val="none" w:sz="0" w:space="0" w:color="auto"/>
                <w:left w:val="none" w:sz="0" w:space="0" w:color="auto"/>
                <w:bottom w:val="none" w:sz="0" w:space="0" w:color="auto"/>
                <w:right w:val="none" w:sz="0" w:space="0" w:color="auto"/>
              </w:divBdr>
            </w:div>
          </w:divsChild>
        </w:div>
        <w:div w:id="1920676633">
          <w:marLeft w:val="0"/>
          <w:marRight w:val="0"/>
          <w:marTop w:val="48"/>
          <w:marBottom w:val="120"/>
          <w:divBdr>
            <w:top w:val="none" w:sz="0" w:space="0" w:color="auto"/>
            <w:left w:val="none" w:sz="0" w:space="0" w:color="auto"/>
            <w:bottom w:val="none" w:sz="0" w:space="0" w:color="auto"/>
            <w:right w:val="none" w:sz="0" w:space="0" w:color="auto"/>
          </w:divBdr>
          <w:divsChild>
            <w:div w:id="864828416">
              <w:marLeft w:val="0"/>
              <w:marRight w:val="0"/>
              <w:marTop w:val="0"/>
              <w:marBottom w:val="0"/>
              <w:divBdr>
                <w:top w:val="none" w:sz="0" w:space="0" w:color="auto"/>
                <w:left w:val="none" w:sz="0" w:space="0" w:color="auto"/>
                <w:bottom w:val="none" w:sz="0" w:space="0" w:color="auto"/>
                <w:right w:val="none" w:sz="0" w:space="0" w:color="auto"/>
              </w:divBdr>
            </w:div>
          </w:divsChild>
        </w:div>
        <w:div w:id="37125909">
          <w:marLeft w:val="0"/>
          <w:marRight w:val="0"/>
          <w:marTop w:val="48"/>
          <w:marBottom w:val="120"/>
          <w:divBdr>
            <w:top w:val="none" w:sz="0" w:space="0" w:color="auto"/>
            <w:left w:val="none" w:sz="0" w:space="0" w:color="auto"/>
            <w:bottom w:val="none" w:sz="0" w:space="0" w:color="auto"/>
            <w:right w:val="none" w:sz="0" w:space="0" w:color="auto"/>
          </w:divBdr>
          <w:divsChild>
            <w:div w:id="1549025885">
              <w:marLeft w:val="0"/>
              <w:marRight w:val="0"/>
              <w:marTop w:val="0"/>
              <w:marBottom w:val="0"/>
              <w:divBdr>
                <w:top w:val="none" w:sz="0" w:space="0" w:color="auto"/>
                <w:left w:val="none" w:sz="0" w:space="0" w:color="auto"/>
                <w:bottom w:val="none" w:sz="0" w:space="0" w:color="auto"/>
                <w:right w:val="none" w:sz="0" w:space="0" w:color="auto"/>
              </w:divBdr>
            </w:div>
          </w:divsChild>
        </w:div>
        <w:div w:id="1284579533">
          <w:marLeft w:val="0"/>
          <w:marRight w:val="0"/>
          <w:marTop w:val="48"/>
          <w:marBottom w:val="120"/>
          <w:divBdr>
            <w:top w:val="none" w:sz="0" w:space="0" w:color="auto"/>
            <w:left w:val="none" w:sz="0" w:space="0" w:color="auto"/>
            <w:bottom w:val="none" w:sz="0" w:space="0" w:color="auto"/>
            <w:right w:val="none" w:sz="0" w:space="0" w:color="auto"/>
          </w:divBdr>
          <w:divsChild>
            <w:div w:id="1931809265">
              <w:marLeft w:val="0"/>
              <w:marRight w:val="0"/>
              <w:marTop w:val="0"/>
              <w:marBottom w:val="0"/>
              <w:divBdr>
                <w:top w:val="none" w:sz="0" w:space="0" w:color="auto"/>
                <w:left w:val="none" w:sz="0" w:space="0" w:color="auto"/>
                <w:bottom w:val="none" w:sz="0" w:space="0" w:color="auto"/>
                <w:right w:val="none" w:sz="0" w:space="0" w:color="auto"/>
              </w:divBdr>
            </w:div>
          </w:divsChild>
        </w:div>
        <w:div w:id="985209989">
          <w:marLeft w:val="0"/>
          <w:marRight w:val="0"/>
          <w:marTop w:val="48"/>
          <w:marBottom w:val="120"/>
          <w:divBdr>
            <w:top w:val="none" w:sz="0" w:space="0" w:color="auto"/>
            <w:left w:val="none" w:sz="0" w:space="0" w:color="auto"/>
            <w:bottom w:val="none" w:sz="0" w:space="0" w:color="auto"/>
            <w:right w:val="none" w:sz="0" w:space="0" w:color="auto"/>
          </w:divBdr>
          <w:divsChild>
            <w:div w:id="1712221507">
              <w:marLeft w:val="0"/>
              <w:marRight w:val="0"/>
              <w:marTop w:val="0"/>
              <w:marBottom w:val="0"/>
              <w:divBdr>
                <w:top w:val="none" w:sz="0" w:space="0" w:color="auto"/>
                <w:left w:val="none" w:sz="0" w:space="0" w:color="auto"/>
                <w:bottom w:val="none" w:sz="0" w:space="0" w:color="auto"/>
                <w:right w:val="none" w:sz="0" w:space="0" w:color="auto"/>
              </w:divBdr>
            </w:div>
          </w:divsChild>
        </w:div>
        <w:div w:id="1458178903">
          <w:marLeft w:val="0"/>
          <w:marRight w:val="0"/>
          <w:marTop w:val="0"/>
          <w:marBottom w:val="480"/>
          <w:divBdr>
            <w:top w:val="none" w:sz="0" w:space="0" w:color="auto"/>
            <w:left w:val="none" w:sz="0" w:space="0" w:color="auto"/>
            <w:bottom w:val="none" w:sz="0" w:space="0" w:color="auto"/>
            <w:right w:val="none" w:sz="0" w:space="0" w:color="auto"/>
          </w:divBdr>
          <w:divsChild>
            <w:div w:id="1241449923">
              <w:marLeft w:val="0"/>
              <w:marRight w:val="0"/>
              <w:marTop w:val="0"/>
              <w:marBottom w:val="240"/>
              <w:divBdr>
                <w:top w:val="none" w:sz="0" w:space="0" w:color="auto"/>
                <w:left w:val="none" w:sz="0" w:space="0" w:color="auto"/>
                <w:bottom w:val="none" w:sz="0" w:space="0" w:color="auto"/>
                <w:right w:val="none" w:sz="0" w:space="0" w:color="auto"/>
              </w:divBdr>
              <w:divsChild>
                <w:div w:id="658192450">
                  <w:marLeft w:val="0"/>
                  <w:marRight w:val="0"/>
                  <w:marTop w:val="0"/>
                  <w:marBottom w:val="0"/>
                  <w:divBdr>
                    <w:top w:val="none" w:sz="0" w:space="0" w:color="auto"/>
                    <w:left w:val="none" w:sz="0" w:space="0" w:color="auto"/>
                    <w:bottom w:val="none" w:sz="0" w:space="0" w:color="auto"/>
                    <w:right w:val="none" w:sz="0" w:space="0" w:color="auto"/>
                  </w:divBdr>
                </w:div>
              </w:divsChild>
            </w:div>
            <w:div w:id="488055136">
              <w:marLeft w:val="0"/>
              <w:marRight w:val="0"/>
              <w:marTop w:val="0"/>
              <w:marBottom w:val="240"/>
              <w:divBdr>
                <w:top w:val="none" w:sz="0" w:space="0" w:color="auto"/>
                <w:left w:val="none" w:sz="0" w:space="0" w:color="auto"/>
                <w:bottom w:val="none" w:sz="0" w:space="0" w:color="auto"/>
                <w:right w:val="none" w:sz="0" w:space="0" w:color="auto"/>
              </w:divBdr>
              <w:divsChild>
                <w:div w:id="644890152">
                  <w:marLeft w:val="0"/>
                  <w:marRight w:val="0"/>
                  <w:marTop w:val="0"/>
                  <w:marBottom w:val="0"/>
                  <w:divBdr>
                    <w:top w:val="none" w:sz="0" w:space="0" w:color="auto"/>
                    <w:left w:val="none" w:sz="0" w:space="0" w:color="auto"/>
                    <w:bottom w:val="none" w:sz="0" w:space="0" w:color="auto"/>
                    <w:right w:val="none" w:sz="0" w:space="0" w:color="auto"/>
                  </w:divBdr>
                </w:div>
              </w:divsChild>
            </w:div>
            <w:div w:id="2109688580">
              <w:marLeft w:val="0"/>
              <w:marRight w:val="0"/>
              <w:marTop w:val="0"/>
              <w:marBottom w:val="240"/>
              <w:divBdr>
                <w:top w:val="none" w:sz="0" w:space="0" w:color="auto"/>
                <w:left w:val="none" w:sz="0" w:space="0" w:color="auto"/>
                <w:bottom w:val="none" w:sz="0" w:space="0" w:color="auto"/>
                <w:right w:val="none" w:sz="0" w:space="0" w:color="auto"/>
              </w:divBdr>
              <w:divsChild>
                <w:div w:id="1695110497">
                  <w:marLeft w:val="0"/>
                  <w:marRight w:val="0"/>
                  <w:marTop w:val="0"/>
                  <w:marBottom w:val="0"/>
                  <w:divBdr>
                    <w:top w:val="none" w:sz="0" w:space="0" w:color="auto"/>
                    <w:left w:val="none" w:sz="0" w:space="0" w:color="auto"/>
                    <w:bottom w:val="none" w:sz="0" w:space="0" w:color="auto"/>
                    <w:right w:val="none" w:sz="0" w:space="0" w:color="auto"/>
                  </w:divBdr>
                </w:div>
              </w:divsChild>
            </w:div>
            <w:div w:id="990329769">
              <w:marLeft w:val="0"/>
              <w:marRight w:val="0"/>
              <w:marTop w:val="0"/>
              <w:marBottom w:val="240"/>
              <w:divBdr>
                <w:top w:val="none" w:sz="0" w:space="0" w:color="auto"/>
                <w:left w:val="none" w:sz="0" w:space="0" w:color="auto"/>
                <w:bottom w:val="none" w:sz="0" w:space="0" w:color="auto"/>
                <w:right w:val="none" w:sz="0" w:space="0" w:color="auto"/>
              </w:divBdr>
              <w:divsChild>
                <w:div w:id="18245928">
                  <w:marLeft w:val="0"/>
                  <w:marRight w:val="0"/>
                  <w:marTop w:val="0"/>
                  <w:marBottom w:val="0"/>
                  <w:divBdr>
                    <w:top w:val="none" w:sz="0" w:space="0" w:color="auto"/>
                    <w:left w:val="none" w:sz="0" w:space="0" w:color="auto"/>
                    <w:bottom w:val="none" w:sz="0" w:space="0" w:color="auto"/>
                    <w:right w:val="none" w:sz="0" w:space="0" w:color="auto"/>
                  </w:divBdr>
                </w:div>
              </w:divsChild>
            </w:div>
            <w:div w:id="1537426891">
              <w:marLeft w:val="0"/>
              <w:marRight w:val="0"/>
              <w:marTop w:val="0"/>
              <w:marBottom w:val="240"/>
              <w:divBdr>
                <w:top w:val="none" w:sz="0" w:space="0" w:color="auto"/>
                <w:left w:val="none" w:sz="0" w:space="0" w:color="auto"/>
                <w:bottom w:val="none" w:sz="0" w:space="0" w:color="auto"/>
                <w:right w:val="none" w:sz="0" w:space="0" w:color="auto"/>
              </w:divBdr>
              <w:divsChild>
                <w:div w:id="1339767951">
                  <w:marLeft w:val="0"/>
                  <w:marRight w:val="0"/>
                  <w:marTop w:val="0"/>
                  <w:marBottom w:val="0"/>
                  <w:divBdr>
                    <w:top w:val="none" w:sz="0" w:space="0" w:color="auto"/>
                    <w:left w:val="none" w:sz="0" w:space="0" w:color="auto"/>
                    <w:bottom w:val="none" w:sz="0" w:space="0" w:color="auto"/>
                    <w:right w:val="none" w:sz="0" w:space="0" w:color="auto"/>
                  </w:divBdr>
                </w:div>
              </w:divsChild>
            </w:div>
            <w:div w:id="1011637707">
              <w:marLeft w:val="0"/>
              <w:marRight w:val="0"/>
              <w:marTop w:val="0"/>
              <w:marBottom w:val="240"/>
              <w:divBdr>
                <w:top w:val="none" w:sz="0" w:space="0" w:color="auto"/>
                <w:left w:val="none" w:sz="0" w:space="0" w:color="auto"/>
                <w:bottom w:val="none" w:sz="0" w:space="0" w:color="auto"/>
                <w:right w:val="none" w:sz="0" w:space="0" w:color="auto"/>
              </w:divBdr>
              <w:divsChild>
                <w:div w:id="3532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amanetwork.com/searchresults?author=William+Msemburi&amp;q=William+Msemburi" TargetMode="External"/><Relationship Id="rId13" Type="http://schemas.openxmlformats.org/officeDocument/2006/relationships/hyperlink" Target="https://jamanetwork.com/journals/jamapediatrics/fullarticle/2795650" TargetMode="External"/><Relationship Id="rId18" Type="http://schemas.openxmlformats.org/officeDocument/2006/relationships/hyperlink" Target="https://jamanetwork.com/journals/jamapediatrics/fullarticle/2795650" TargetMode="External"/><Relationship Id="rId26" Type="http://schemas.openxmlformats.org/officeDocument/2006/relationships/hyperlink" Target="mailto:joelpascal.ntwali@aims.ac.rw" TargetMode="External"/><Relationship Id="rId39" Type="http://schemas.openxmlformats.org/officeDocument/2006/relationships/hyperlink" Target="https://doi.org/10.1093/abm/kaaa022" TargetMode="External"/><Relationship Id="rId3" Type="http://schemas.openxmlformats.org/officeDocument/2006/relationships/settings" Target="settings.xml"/><Relationship Id="rId21" Type="http://schemas.openxmlformats.org/officeDocument/2006/relationships/hyperlink" Target="https://jamanetwork.com/journals/jamapediatrics/fullarticle/2795650" TargetMode="External"/><Relationship Id="rId34" Type="http://schemas.openxmlformats.org/officeDocument/2006/relationships/hyperlink" Target="https://scholar.google.com/scholar_lookup?title=Global%2C%20regional%2C%20and%20national%20minimum%20estimates%20of%20children%20affected%20by%20COVID-19-associated%20orphanhood%20and%20caregiver%20death%2C%20by%20age%20and%20family%20circumstance%20up%20to%20Oct%2031%2C%202021%3A%20an%20updated%20modelling%20study.&amp;author=HJT%20Unwin&amp;author=S%20Hillis&amp;author=L%20Cluver&amp;publication_year=2022&amp;journal=Lancet%20Child%20Adolesc%20Health&amp;volume=6&amp;pages=249-259" TargetMode="External"/><Relationship Id="rId42" Type="http://schemas.openxmlformats.org/officeDocument/2006/relationships/theme" Target="theme/theme1.xml"/><Relationship Id="rId7" Type="http://schemas.openxmlformats.org/officeDocument/2006/relationships/hyperlink" Target="https://jamanetwork.com/searchresults?author=Joel-Pascal+Ntwali+N%e2%80%99konzi&amp;q=Joel-Pascal+Ntwali+N%e2%80%99konzi" TargetMode="External"/><Relationship Id="rId12" Type="http://schemas.openxmlformats.org/officeDocument/2006/relationships/hyperlink" Target="https://jamanetwork.com/searchresults?author=H.+Juliette+T.+Unwin&amp;q=H.+Juliette+T.+Unwin" TargetMode="External"/><Relationship Id="rId17" Type="http://schemas.openxmlformats.org/officeDocument/2006/relationships/hyperlink" Target="https://jamanetwork.com/journals/jamapediatrics/fullarticle/2795650" TargetMode="External"/><Relationship Id="rId25" Type="http://schemas.openxmlformats.org/officeDocument/2006/relationships/hyperlink" Target="http://jamanetwork.com/article.aspx?doi=10.1001/jamapediatrics.2022.3157" TargetMode="External"/><Relationship Id="rId33" Type="http://schemas.openxmlformats.org/officeDocument/2006/relationships/hyperlink" Target="https://www.ncbi.nlm.nih.gov/pubmed/35219404" TargetMode="External"/><Relationship Id="rId38" Type="http://schemas.openxmlformats.org/officeDocument/2006/relationships/hyperlink" Target="https://scholar.google.com/scholar_lookup?title=A%20Systematic%20review%20and%20meta-analysis%20of%20interventions%20for%20orphans%20and%20vulnerable%20children%20affected%20by%20HIV%2FAIDS%20worldwide.&amp;author=T%20Thomas&amp;author=M%20Tan&amp;author=Y%20Ahmed&amp;author=EL%20Grigorenko&amp;publication_year=2020&amp;journal=Ann%20Behav%20Med&amp;volume=54&amp;pages=853-866" TargetMode="External"/><Relationship Id="rId2" Type="http://schemas.microsoft.com/office/2007/relationships/stylesWithEffects" Target="stylesWithEffects.xml"/><Relationship Id="rId16" Type="http://schemas.openxmlformats.org/officeDocument/2006/relationships/hyperlink" Target="https://jamanetwork.com/journals/jamapediatrics/fullarticle/2795650" TargetMode="External"/><Relationship Id="rId20" Type="http://schemas.openxmlformats.org/officeDocument/2006/relationships/hyperlink" Target="https://jamanetwork.com/journals/jamapediatrics/fullarticle/2795650" TargetMode="External"/><Relationship Id="rId29" Type="http://schemas.openxmlformats.org/officeDocument/2006/relationships/hyperlink" Target="https://www.healthdata.org/special-analysis/estimation-excess-mortality-due-covid-19-and-scalars-reported-covid-19-deaths"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jamanetwork.com/searchresults?author=Susan+Hillis&amp;q=Susan+Hillis" TargetMode="External"/><Relationship Id="rId11" Type="http://schemas.openxmlformats.org/officeDocument/2006/relationships/hyperlink" Target="https://jamanetwork.com/searchresults?author=Seth+Flaxman&amp;q=Seth+Flaxman" TargetMode="External"/><Relationship Id="rId24" Type="http://schemas.openxmlformats.org/officeDocument/2006/relationships/hyperlink" Target="https://jamanetwork.com/journals/jamapediatrics/fullarticle/2795650" TargetMode="External"/><Relationship Id="rId32" Type="http://schemas.openxmlformats.org/officeDocument/2006/relationships/hyperlink" Target="http://dx.doi.org/10.1016/S2352-4642(22)00005-0" TargetMode="External"/><Relationship Id="rId37" Type="http://schemas.openxmlformats.org/officeDocument/2006/relationships/hyperlink" Target="https://www.ncbi.nlm.nih.gov/pubmed/32525205" TargetMode="External"/><Relationship Id="rId40" Type="http://schemas.openxmlformats.org/officeDocument/2006/relationships/hyperlink" Target="https://imperialcollegelondon.github.io/orphanhood_calculator/" TargetMode="External"/><Relationship Id="rId5" Type="http://schemas.openxmlformats.org/officeDocument/2006/relationships/hyperlink" Target="https://jamanetwork.com/journals/jamapediatrics/fullarticle/2795650#pld220034t1" TargetMode="External"/><Relationship Id="rId15" Type="http://schemas.openxmlformats.org/officeDocument/2006/relationships/hyperlink" Target="https://jamanetwork.com/journals/jamapediatrics/fullarticle/2795650" TargetMode="External"/><Relationship Id="rId23" Type="http://schemas.openxmlformats.org/officeDocument/2006/relationships/hyperlink" Target="https://jamanetwork.com/journals/jamapediatrics/fullarticle/2795650" TargetMode="External"/><Relationship Id="rId28" Type="http://schemas.openxmlformats.org/officeDocument/2006/relationships/hyperlink" Target="https://jamanetwork.com/pages/cc-by-license-permissions" TargetMode="External"/><Relationship Id="rId36" Type="http://schemas.openxmlformats.org/officeDocument/2006/relationships/hyperlink" Target="http://dx.doi.org/10.1093/abm/kaaa022" TargetMode="External"/><Relationship Id="rId10" Type="http://schemas.openxmlformats.org/officeDocument/2006/relationships/hyperlink" Target="https://jamanetwork.com/searchresults?author=Andr%c3%a9s+Villaveces&amp;q=Andr%c3%a9s+Villaveces" TargetMode="External"/><Relationship Id="rId19" Type="http://schemas.openxmlformats.org/officeDocument/2006/relationships/hyperlink" Target="https://jamanetwork.com/journals/jamapediatrics/fullarticle/2795650" TargetMode="External"/><Relationship Id="rId31" Type="http://schemas.openxmlformats.org/officeDocument/2006/relationships/hyperlink" Target="https://www.who.int/news/item/05-05-2022-14.9-million-excess-deaths-were-associated-with-the-covid-19-pandemic-in-2020-and-2021" TargetMode="External"/><Relationship Id="rId4" Type="http://schemas.openxmlformats.org/officeDocument/2006/relationships/webSettings" Target="webSettings.xml"/><Relationship Id="rId9" Type="http://schemas.openxmlformats.org/officeDocument/2006/relationships/hyperlink" Target="https://jamanetwork.com/searchresults?author=Lucie+Cluver&amp;q=Lucie+Cluver" TargetMode="External"/><Relationship Id="rId14" Type="http://schemas.openxmlformats.org/officeDocument/2006/relationships/hyperlink" Target="https://jamanetwork.com/journals/jamapediatrics/fullarticle/2795650" TargetMode="External"/><Relationship Id="rId22" Type="http://schemas.openxmlformats.org/officeDocument/2006/relationships/hyperlink" Target="https://jamanetwork.com/journals/jamapediatrics/fullarticle/2795650" TargetMode="External"/><Relationship Id="rId27" Type="http://schemas.openxmlformats.org/officeDocument/2006/relationships/hyperlink" Target="mailto:susanhillis12@gmail.com" TargetMode="External"/><Relationship Id="rId30" Type="http://schemas.openxmlformats.org/officeDocument/2006/relationships/hyperlink" Target="https://www.economist.com/graphic-detail/coronavirus-excess-deaths-tracker" TargetMode="External"/><Relationship Id="rId35" Type="http://schemas.openxmlformats.org/officeDocument/2006/relationships/hyperlink" Target="https://doi.org/10.1016/S2352-4642(22)0000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2022-11-25T14:37:00Z</dcterms:created>
  <dcterms:modified xsi:type="dcterms:W3CDTF">2022-11-25T14:39:00Z</dcterms:modified>
</cp:coreProperties>
</file>