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A71" w:rsidRPr="00562A71" w:rsidRDefault="00562A71" w:rsidP="00562A71">
      <w:pPr>
        <w:spacing w:before="300" w:after="150" w:line="240" w:lineRule="auto"/>
        <w:outlineLvl w:val="0"/>
        <w:rPr>
          <w:rFonts w:ascii="inherit" w:eastAsia="Times New Roman" w:hAnsi="inherit" w:cs="Times New Roman"/>
          <w:kern w:val="36"/>
          <w:sz w:val="57"/>
          <w:szCs w:val="57"/>
        </w:rPr>
      </w:pPr>
      <w:bookmarkStart w:id="0" w:name="_GoBack"/>
      <w:r w:rsidRPr="00562A71">
        <w:rPr>
          <w:rFonts w:ascii="inherit" w:eastAsia="Times New Roman" w:hAnsi="inherit" w:cs="Times New Roman"/>
          <w:kern w:val="36"/>
          <w:sz w:val="57"/>
          <w:szCs w:val="57"/>
        </w:rPr>
        <w:t>WTO-IMF COVID-19 Vaccine Trade Tracker</w:t>
      </w:r>
      <w:bookmarkEnd w:id="0"/>
    </w:p>
    <w:p w:rsidR="00562A71" w:rsidRDefault="00562A71" w:rsidP="00562A71">
      <w:pPr>
        <w:spacing w:after="150" w:line="240" w:lineRule="auto"/>
        <w:rPr>
          <w:rFonts w:ascii="Times New Roman" w:eastAsia="Times New Roman" w:hAnsi="Times New Roman" w:cs="Times New Roman"/>
          <w:b/>
          <w:bCs/>
          <w:i/>
          <w:iCs/>
          <w:sz w:val="24"/>
          <w:szCs w:val="24"/>
        </w:rPr>
      </w:pPr>
      <w:r w:rsidRPr="00562A71">
        <w:rPr>
          <w:rFonts w:ascii="Times New Roman" w:eastAsia="Times New Roman" w:hAnsi="Times New Roman" w:cs="Times New Roman"/>
          <w:b/>
          <w:bCs/>
          <w:i/>
          <w:iCs/>
          <w:sz w:val="24"/>
          <w:szCs w:val="24"/>
        </w:rPr>
        <w:t>Fast and smooth cross-border movement of vaccines, vaccine inputs and related supplies is essential for the world to achieve its vaccination targets without delay.</w:t>
      </w:r>
    </w:p>
    <w:p w:rsidR="00562A71" w:rsidRDefault="00562A71" w:rsidP="00562A71">
      <w:pPr>
        <w:spacing w:after="150" w:line="240" w:lineRule="auto"/>
        <w:rPr>
          <w:rFonts w:ascii="Times New Roman" w:eastAsia="Times New Roman" w:hAnsi="Times New Roman" w:cs="Times New Roman"/>
          <w:b/>
          <w:bCs/>
          <w:i/>
          <w:iCs/>
          <w:sz w:val="24"/>
          <w:szCs w:val="24"/>
        </w:rPr>
      </w:pPr>
    </w:p>
    <w:p w:rsidR="00562A71" w:rsidRDefault="00562A71" w:rsidP="00562A71">
      <w:pPr>
        <w:spacing w:after="150" w:line="240" w:lineRule="auto"/>
        <w:rPr>
          <w:rFonts w:ascii="Times New Roman" w:eastAsia="Times New Roman" w:hAnsi="Times New Roman" w:cs="Times New Roman"/>
          <w:sz w:val="24"/>
          <w:szCs w:val="24"/>
        </w:rPr>
      </w:pPr>
      <w:hyperlink r:id="rId6" w:history="1">
        <w:r w:rsidRPr="002B2F96">
          <w:rPr>
            <w:rStyle w:val="Hyperlink"/>
            <w:rFonts w:ascii="Times New Roman" w:eastAsia="Times New Roman" w:hAnsi="Times New Roman" w:cs="Times New Roman"/>
            <w:sz w:val="24"/>
            <w:szCs w:val="24"/>
          </w:rPr>
          <w:t>https://www.wto.org/english/tratop_e/covid19_e/vaccine_trade_tracker_e.htm</w:t>
        </w:r>
      </w:hyperlink>
    </w:p>
    <w:p w:rsidR="00562A71" w:rsidRPr="00562A71" w:rsidRDefault="00562A71" w:rsidP="00562A71">
      <w:pPr>
        <w:spacing w:after="150" w:line="240" w:lineRule="auto"/>
        <w:rPr>
          <w:rFonts w:ascii="Times New Roman" w:eastAsia="Times New Roman" w:hAnsi="Times New Roman" w:cs="Times New Roman"/>
          <w:sz w:val="24"/>
          <w:szCs w:val="24"/>
        </w:rPr>
      </w:pP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The WTO-IMF Vaccine Trade Tracker provides data on the trade and supply of COVID-19 vaccines by product, economy and arrangement type. The tracker builds on the work of </w:t>
      </w:r>
      <w:hyperlink r:id="rId7" w:history="1">
        <w:r w:rsidRPr="00562A71">
          <w:rPr>
            <w:rFonts w:ascii="Times New Roman" w:eastAsia="Times New Roman" w:hAnsi="Times New Roman" w:cs="Times New Roman"/>
            <w:color w:val="337AB7"/>
            <w:sz w:val="24"/>
            <w:szCs w:val="24"/>
            <w:u w:val="single"/>
          </w:rPr>
          <w:t>the WTO Secretariat information notes on COVID-19 and world trade</w:t>
        </w:r>
      </w:hyperlink>
      <w:r w:rsidRPr="00562A71">
        <w:rPr>
          <w:rFonts w:ascii="Times New Roman" w:eastAsia="Times New Roman" w:hAnsi="Times New Roman" w:cs="Times New Roman"/>
          <w:sz w:val="24"/>
          <w:szCs w:val="24"/>
        </w:rPr>
        <w:t> and </w:t>
      </w:r>
      <w:hyperlink r:id="rId8" w:history="1">
        <w:r w:rsidRPr="00562A71">
          <w:rPr>
            <w:rFonts w:ascii="Times New Roman" w:eastAsia="Times New Roman" w:hAnsi="Times New Roman" w:cs="Times New Roman"/>
            <w:color w:val="337AB7"/>
            <w:sz w:val="24"/>
            <w:szCs w:val="24"/>
            <w:u w:val="single"/>
          </w:rPr>
          <w:t>the IMF Staff Discussion Note – A Proposal to End the COVID-19 Pandemic (</w:t>
        </w:r>
        <w:proofErr w:type="spellStart"/>
        <w:r w:rsidRPr="00562A71">
          <w:rPr>
            <w:rFonts w:ascii="Times New Roman" w:eastAsia="Times New Roman" w:hAnsi="Times New Roman" w:cs="Times New Roman"/>
            <w:color w:val="337AB7"/>
            <w:sz w:val="24"/>
            <w:szCs w:val="24"/>
            <w:u w:val="single"/>
          </w:rPr>
          <w:t>Agarwal</w:t>
        </w:r>
        <w:proofErr w:type="spellEnd"/>
        <w:r w:rsidRPr="00562A71">
          <w:rPr>
            <w:rFonts w:ascii="Times New Roman" w:eastAsia="Times New Roman" w:hAnsi="Times New Roman" w:cs="Times New Roman"/>
            <w:color w:val="337AB7"/>
            <w:sz w:val="24"/>
            <w:szCs w:val="24"/>
            <w:u w:val="single"/>
          </w:rPr>
          <w:t xml:space="preserve"> and </w:t>
        </w:r>
        <w:proofErr w:type="spellStart"/>
        <w:r w:rsidRPr="00562A71">
          <w:rPr>
            <w:rFonts w:ascii="Times New Roman" w:eastAsia="Times New Roman" w:hAnsi="Times New Roman" w:cs="Times New Roman"/>
            <w:color w:val="337AB7"/>
            <w:sz w:val="24"/>
            <w:szCs w:val="24"/>
            <w:u w:val="single"/>
          </w:rPr>
          <w:t>Gopinath</w:t>
        </w:r>
        <w:proofErr w:type="spellEnd"/>
        <w:r w:rsidRPr="00562A71">
          <w:rPr>
            <w:rFonts w:ascii="Times New Roman" w:eastAsia="Times New Roman" w:hAnsi="Times New Roman" w:cs="Times New Roman"/>
            <w:color w:val="337AB7"/>
            <w:sz w:val="24"/>
            <w:szCs w:val="24"/>
            <w:u w:val="single"/>
          </w:rPr>
          <w:t>, 2021)</w:t>
        </w:r>
      </w:hyperlink>
      <w:r w:rsidRPr="00562A71">
        <w:rPr>
          <w:rFonts w:ascii="Times New Roman" w:eastAsia="Times New Roman" w:hAnsi="Times New Roman" w:cs="Times New Roman"/>
          <w:sz w:val="24"/>
          <w:szCs w:val="24"/>
        </w:rPr>
        <w:t>.</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 xml:space="preserve">This Tracker shows the supply of vaccine doses from facilities where the final vaccines are made (where "fill and finish" is completed) to the economies where they are administered; cases where production facilities are located within destination economies are referred to as "domestic supply". For vaccines that only require one dose (J&amp;J and </w:t>
      </w:r>
      <w:proofErr w:type="spellStart"/>
      <w:r w:rsidRPr="00562A71">
        <w:rPr>
          <w:rFonts w:ascii="Times New Roman" w:eastAsia="Times New Roman" w:hAnsi="Times New Roman" w:cs="Times New Roman"/>
          <w:sz w:val="24"/>
          <w:szCs w:val="24"/>
        </w:rPr>
        <w:t>CanSino</w:t>
      </w:r>
      <w:proofErr w:type="spellEnd"/>
      <w:r w:rsidRPr="00562A71">
        <w:rPr>
          <w:rFonts w:ascii="Times New Roman" w:eastAsia="Times New Roman" w:hAnsi="Times New Roman" w:cs="Times New Roman"/>
          <w:sz w:val="24"/>
          <w:szCs w:val="24"/>
        </w:rPr>
        <w:t>), volumes are doubled to make them comparable with two-shot vaccines. This should be considered when comparing these numbers to other sources.</w:t>
      </w:r>
    </w:p>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1. Summary</w:t>
      </w:r>
    </w:p>
    <w:p w:rsidR="00562A71" w:rsidRPr="00562A71" w:rsidRDefault="00562A71" w:rsidP="00562A71">
      <w:pPr>
        <w:spacing w:before="300" w:after="150" w:line="240" w:lineRule="auto"/>
        <w:outlineLvl w:val="2"/>
        <w:rPr>
          <w:rFonts w:ascii="inherit" w:eastAsia="Times New Roman" w:hAnsi="inherit" w:cs="Times New Roman"/>
          <w:sz w:val="36"/>
          <w:szCs w:val="36"/>
        </w:rPr>
      </w:pPr>
      <w:r w:rsidRPr="00562A71">
        <w:rPr>
          <w:rFonts w:ascii="inherit" w:eastAsia="Times New Roman" w:hAnsi="inherit" w:cs="Times New Roman"/>
          <w:sz w:val="36"/>
          <w:szCs w:val="36"/>
        </w:rPr>
        <w:t>As of 31 May 2022</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Total supply to date:</w:t>
      </w:r>
      <w:r w:rsidRPr="00562A71">
        <w:rPr>
          <w:rFonts w:ascii="Times New Roman" w:eastAsia="Times New Roman" w:hAnsi="Times New Roman" w:cs="Times New Roman"/>
          <w:sz w:val="24"/>
          <w:szCs w:val="24"/>
        </w:rPr>
        <w:t> 15.2 billion doses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Domestic supply: 9.0 billion doses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 </w:t>
      </w:r>
      <w:r w:rsidRPr="00562A71">
        <w:rPr>
          <w:rFonts w:ascii="Times New Roman" w:eastAsia="Times New Roman" w:hAnsi="Times New Roman" w:cs="Times New Roman"/>
          <w:sz w:val="24"/>
          <w:szCs w:val="24"/>
        </w:rPr>
        <w:t>Implicit trade (exports or imports): 6.2 billion doses</w:t>
      </w:r>
    </w:p>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2. Exports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Exports are defined as the number of doses delivered across borders from producing economies to economies where vaccines are administered.</w:t>
      </w:r>
    </w:p>
    <w:p w:rsidR="00562A71" w:rsidRPr="00562A71" w:rsidRDefault="00562A71" w:rsidP="00562A71">
      <w:pPr>
        <w:numPr>
          <w:ilvl w:val="0"/>
          <w:numId w:val="1"/>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9" w:anchor="by-producing-economy" w:history="1">
        <w:r w:rsidRPr="00562A71">
          <w:rPr>
            <w:rFonts w:ascii="Times New Roman" w:eastAsia="Times New Roman" w:hAnsi="Times New Roman" w:cs="Times New Roman"/>
            <w:color w:val="555555"/>
            <w:sz w:val="24"/>
            <w:szCs w:val="24"/>
            <w:u w:val="single"/>
            <w:bdr w:val="single" w:sz="6" w:space="8" w:color="auto" w:frame="1"/>
            <w:shd w:val="clear" w:color="auto" w:fill="FFFFFF"/>
          </w:rPr>
          <w:t>By producing economy</w:t>
        </w:r>
      </w:hyperlink>
    </w:p>
    <w:p w:rsidR="00562A71" w:rsidRPr="00562A71" w:rsidRDefault="00562A71" w:rsidP="00562A71">
      <w:pPr>
        <w:numPr>
          <w:ilvl w:val="0"/>
          <w:numId w:val="1"/>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0" w:anchor="by-supply-arrangement-type" w:history="1">
        <w:r w:rsidRPr="00562A71">
          <w:rPr>
            <w:rFonts w:ascii="Times New Roman" w:eastAsia="Times New Roman" w:hAnsi="Times New Roman" w:cs="Times New Roman"/>
            <w:color w:val="337AB7"/>
            <w:sz w:val="24"/>
            <w:szCs w:val="24"/>
            <w:u w:val="single"/>
          </w:rPr>
          <w:t>By supply arrangement type</w:t>
        </w:r>
      </w:hyperlink>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 xml:space="preserve">This Tracker defines a "producing economy" as a country or territory where final vaccines are made or where "fill and finish" is completed. This definition does not take into account exports </w:t>
      </w:r>
      <w:r w:rsidRPr="00562A71">
        <w:rPr>
          <w:rFonts w:ascii="Times New Roman" w:eastAsia="Times New Roman" w:hAnsi="Times New Roman" w:cs="Times New Roman"/>
          <w:sz w:val="24"/>
          <w:szCs w:val="24"/>
        </w:rPr>
        <w:lastRenderedPageBreak/>
        <w:t>of vaccine substances in bulk form shipped to "fill and finish" sites located in other countries or territories.</w:t>
      </w:r>
    </w:p>
    <w:p w:rsidR="00562A71" w:rsidRPr="00562A71" w:rsidRDefault="00562A71" w:rsidP="00562A71">
      <w:pPr>
        <w:spacing w:after="0" w:line="240" w:lineRule="auto"/>
        <w:rPr>
          <w:rFonts w:ascii="Times New Roman" w:eastAsia="Times New Roman" w:hAnsi="Times New Roman" w:cs="Times New Roman"/>
          <w:sz w:val="24"/>
          <w:szCs w:val="24"/>
        </w:rPr>
      </w:pPr>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235"/>
        <w:gridCol w:w="2340"/>
        <w:gridCol w:w="2250"/>
        <w:gridCol w:w="1980"/>
        <w:gridCol w:w="4845"/>
      </w:tblGrid>
      <w:tr w:rsidR="00562A71" w:rsidRPr="00562A71" w:rsidTr="00562A71">
        <w:trPr>
          <w:tblHeader/>
        </w:trPr>
        <w:tc>
          <w:tcPr>
            <w:tcW w:w="0" w:type="auto"/>
            <w:gridSpan w:val="5"/>
            <w:tcBorders>
              <w:top w:val="nil"/>
              <w:left w:val="nil"/>
              <w:bottom w:val="nil"/>
              <w:right w:val="nil"/>
            </w:tcBorders>
            <w:shd w:val="clear" w:color="auto" w:fill="auto"/>
            <w:tcMar>
              <w:top w:w="75" w:type="dxa"/>
              <w:left w:w="75" w:type="dxa"/>
              <w:bottom w:w="75" w:type="dxa"/>
              <w:right w:w="75" w:type="dxa"/>
            </w:tcMar>
            <w:vAlign w:val="center"/>
            <w:hideMark/>
          </w:tcPr>
          <w:p w:rsidR="00562A71" w:rsidRPr="00562A71" w:rsidRDefault="00562A71" w:rsidP="00562A71">
            <w:pPr>
              <w:spacing w:after="300" w:line="240" w:lineRule="auto"/>
              <w:rPr>
                <w:rFonts w:ascii="Times New Roman" w:eastAsia="Times New Roman" w:hAnsi="Times New Roman" w:cs="Times New Roman"/>
                <w:color w:val="777777"/>
                <w:sz w:val="20"/>
                <w:szCs w:val="20"/>
              </w:rPr>
            </w:pPr>
            <w:r w:rsidRPr="00562A71">
              <w:rPr>
                <w:rFonts w:ascii="Times New Roman" w:eastAsia="Times New Roman" w:hAnsi="Times New Roman" w:cs="Times New Roman"/>
                <w:b/>
                <w:bCs/>
                <w:color w:val="777777"/>
                <w:sz w:val="20"/>
                <w:szCs w:val="20"/>
              </w:rPr>
              <w:t>    Total number of doses exported by producing economy</w:t>
            </w:r>
          </w:p>
        </w:tc>
      </w:tr>
      <w:tr w:rsidR="00562A71" w:rsidRPr="00562A71" w:rsidTr="00562A71">
        <w:trPr>
          <w:tblHeader/>
        </w:trPr>
        <w:tc>
          <w:tcPr>
            <w:tcW w:w="2235"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0"/>
                <w:szCs w:val="20"/>
              </w:rPr>
            </w:pPr>
            <w:r w:rsidRPr="00562A71">
              <w:rPr>
                <w:rFonts w:ascii="Times New Roman" w:eastAsia="Times New Roman" w:hAnsi="Times New Roman" w:cs="Times New Roman"/>
                <w:b/>
                <w:bCs/>
                <w:sz w:val="20"/>
                <w:szCs w:val="20"/>
              </w:rPr>
              <w:t>Producing economy</w:t>
            </w:r>
          </w:p>
        </w:tc>
        <w:tc>
          <w:tcPr>
            <w:tcW w:w="2340"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0"/>
                <w:szCs w:val="20"/>
              </w:rPr>
            </w:pPr>
            <w:r w:rsidRPr="00562A71">
              <w:rPr>
                <w:rFonts w:ascii="Times New Roman" w:eastAsia="Times New Roman" w:hAnsi="Times New Roman" w:cs="Times New Roman"/>
                <w:b/>
                <w:bCs/>
                <w:sz w:val="20"/>
                <w:szCs w:val="20"/>
              </w:rPr>
              <w:t>Number of doses (million)</w:t>
            </w:r>
          </w:p>
        </w:tc>
        <w:tc>
          <w:tcPr>
            <w:tcW w:w="2250"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0"/>
                <w:szCs w:val="20"/>
              </w:rPr>
            </w:pPr>
            <w:r w:rsidRPr="00562A71">
              <w:rPr>
                <w:rFonts w:ascii="Times New Roman" w:eastAsia="Times New Roman" w:hAnsi="Times New Roman" w:cs="Times New Roman"/>
                <w:b/>
                <w:bCs/>
                <w:sz w:val="20"/>
                <w:szCs w:val="20"/>
              </w:rPr>
              <w:t>Share of world exports</w:t>
            </w:r>
          </w:p>
        </w:tc>
        <w:tc>
          <w:tcPr>
            <w:tcW w:w="1980"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0"/>
                <w:szCs w:val="20"/>
              </w:rPr>
            </w:pPr>
            <w:r w:rsidRPr="00562A71">
              <w:rPr>
                <w:rFonts w:ascii="Times New Roman" w:eastAsia="Times New Roman" w:hAnsi="Times New Roman" w:cs="Times New Roman"/>
                <w:b/>
                <w:bCs/>
                <w:sz w:val="20"/>
                <w:szCs w:val="20"/>
              </w:rPr>
              <w:t>Cumulative share</w:t>
            </w:r>
          </w:p>
        </w:tc>
        <w:tc>
          <w:tcPr>
            <w:tcW w:w="4845"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0"/>
                <w:szCs w:val="20"/>
              </w:rPr>
            </w:pPr>
            <w:r w:rsidRPr="00562A71">
              <w:rPr>
                <w:rFonts w:ascii="Times New Roman" w:eastAsia="Times New Roman" w:hAnsi="Times New Roman" w:cs="Times New Roman"/>
                <w:b/>
                <w:bCs/>
                <w:sz w:val="20"/>
                <w:szCs w:val="20"/>
              </w:rPr>
              <w:t>Exports as share of total supply</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European Union</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2,440.4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39.6%</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39.6%</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65.6%</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China</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1,986.4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32.2%</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71.8%</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32.7%</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United States of America</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968.0</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15.7%</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87.5%</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60.1%</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Korea, Republic of</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240.4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3.9%</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91.4%</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91.2%</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India</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140.2</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2.3%</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93.6%</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5.7%</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South Africa</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110.4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1.8%</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95.4%</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88.2%</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Russian Federation</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102.4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1.7%</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97.1%</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35.8%</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Japan</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67.0</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1.1%</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98.2%</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79.0%</w:t>
            </w: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Other</w:t>
            </w:r>
          </w:p>
        </w:tc>
        <w:tc>
          <w:tcPr>
            <w:tcW w:w="234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113.4</w:t>
            </w:r>
          </w:p>
        </w:tc>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1.8%</w:t>
            </w:r>
          </w:p>
        </w:tc>
        <w:tc>
          <w:tcPr>
            <w:tcW w:w="198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r w:rsidRPr="00562A71">
              <w:rPr>
                <w:rFonts w:ascii="Times New Roman" w:eastAsia="Times New Roman" w:hAnsi="Times New Roman" w:cs="Times New Roman"/>
                <w:sz w:val="20"/>
                <w:szCs w:val="20"/>
              </w:rPr>
              <w:t>100.0%</w:t>
            </w:r>
          </w:p>
        </w:tc>
        <w:tc>
          <w:tcPr>
            <w:tcW w:w="484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0"/>
                <w:szCs w:val="20"/>
              </w:rPr>
            </w:pPr>
          </w:p>
        </w:tc>
      </w:tr>
      <w:tr w:rsidR="00562A71" w:rsidRPr="00562A71" w:rsidTr="00562A71">
        <w:tc>
          <w:tcPr>
            <w:tcW w:w="2235" w:type="dxa"/>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0"/>
                <w:szCs w:val="20"/>
              </w:rPr>
            </w:pPr>
            <w:r w:rsidRPr="00562A71">
              <w:rPr>
                <w:rFonts w:ascii="Times New Roman" w:eastAsia="Times New Roman" w:hAnsi="Times New Roman" w:cs="Times New Roman"/>
                <w:i/>
                <w:iCs/>
                <w:sz w:val="20"/>
                <w:szCs w:val="20"/>
              </w:rPr>
              <w:t>Note: </w:t>
            </w:r>
            <w:r w:rsidRPr="00562A71">
              <w:rPr>
                <w:rFonts w:ascii="Times New Roman" w:eastAsia="Times New Roman" w:hAnsi="Times New Roman" w:cs="Times New Roman"/>
                <w:sz w:val="20"/>
                <w:szCs w:val="20"/>
              </w:rPr>
              <w:t>as of 31 May 2022</w:t>
            </w:r>
          </w:p>
        </w:tc>
        <w:tc>
          <w:tcPr>
            <w:tcW w:w="2340" w:type="dxa"/>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2250" w:type="dxa"/>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1980" w:type="dxa"/>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4845" w:type="dxa"/>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3. Imports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Imports are defined as the number of doses received from producing economies, mirroring the information provided in the exports section. This definition does not take into account imports of vaccine substances in bulk form to be used in "fill and finish" sites.</w:t>
      </w:r>
    </w:p>
    <w:p w:rsidR="00562A71" w:rsidRPr="00562A71" w:rsidRDefault="00562A71" w:rsidP="00562A71">
      <w:pPr>
        <w:numPr>
          <w:ilvl w:val="0"/>
          <w:numId w:val="2"/>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1" w:anchor="by-income-group" w:history="1">
        <w:r w:rsidRPr="00562A71">
          <w:rPr>
            <w:rFonts w:ascii="Times New Roman" w:eastAsia="Times New Roman" w:hAnsi="Times New Roman" w:cs="Times New Roman"/>
            <w:color w:val="555555"/>
            <w:sz w:val="24"/>
            <w:szCs w:val="24"/>
            <w:u w:val="single"/>
            <w:bdr w:val="single" w:sz="6" w:space="8" w:color="auto" w:frame="1"/>
            <w:shd w:val="clear" w:color="auto" w:fill="FFFFFF"/>
          </w:rPr>
          <w:t>By income group</w:t>
        </w:r>
      </w:hyperlink>
    </w:p>
    <w:p w:rsidR="00562A71" w:rsidRPr="00562A71" w:rsidRDefault="00562A71" w:rsidP="00562A71">
      <w:pPr>
        <w:numPr>
          <w:ilvl w:val="0"/>
          <w:numId w:val="2"/>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2" w:anchor="by-continent" w:history="1">
        <w:r w:rsidRPr="00562A71">
          <w:rPr>
            <w:rFonts w:ascii="Times New Roman" w:eastAsia="Times New Roman" w:hAnsi="Times New Roman" w:cs="Times New Roman"/>
            <w:color w:val="337AB7"/>
            <w:sz w:val="24"/>
            <w:szCs w:val="24"/>
            <w:u w:val="single"/>
          </w:rPr>
          <w:t>By Continent</w:t>
        </w:r>
      </w:hyperlink>
    </w:p>
    <w:p w:rsidR="00562A71" w:rsidRPr="00562A71" w:rsidRDefault="00562A71" w:rsidP="00562A71">
      <w:pPr>
        <w:spacing w:after="0" w:line="240" w:lineRule="auto"/>
        <w:rPr>
          <w:rFonts w:ascii="Times New Roman" w:eastAsia="Times New Roman" w:hAnsi="Times New Roman" w:cs="Times New Roman"/>
          <w:sz w:val="24"/>
          <w:szCs w:val="24"/>
        </w:rPr>
      </w:pPr>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516"/>
        <w:gridCol w:w="3895"/>
        <w:gridCol w:w="3174"/>
        <w:gridCol w:w="3065"/>
      </w:tblGrid>
      <w:tr w:rsidR="00562A71" w:rsidRPr="00562A71" w:rsidTr="00562A71">
        <w:trPr>
          <w:tblHeader/>
        </w:trPr>
        <w:tc>
          <w:tcPr>
            <w:tcW w:w="0" w:type="auto"/>
            <w:gridSpan w:val="4"/>
            <w:tcBorders>
              <w:top w:val="nil"/>
              <w:left w:val="nil"/>
              <w:bottom w:val="nil"/>
              <w:right w:val="nil"/>
            </w:tcBorders>
            <w:shd w:val="clear" w:color="auto" w:fill="auto"/>
            <w:tcMar>
              <w:top w:w="75" w:type="dxa"/>
              <w:left w:w="75" w:type="dxa"/>
              <w:bottom w:w="75" w:type="dxa"/>
              <w:right w:w="75" w:type="dxa"/>
            </w:tcMar>
            <w:vAlign w:val="center"/>
            <w:hideMark/>
          </w:tcPr>
          <w:p w:rsidR="00562A71" w:rsidRPr="00562A71" w:rsidRDefault="00562A71" w:rsidP="00562A71">
            <w:pPr>
              <w:spacing w:after="300" w:line="240" w:lineRule="auto"/>
              <w:rPr>
                <w:rFonts w:ascii="Times New Roman" w:eastAsia="Times New Roman" w:hAnsi="Times New Roman" w:cs="Times New Roman"/>
                <w:color w:val="777777"/>
                <w:sz w:val="24"/>
                <w:szCs w:val="24"/>
              </w:rPr>
            </w:pPr>
            <w:r w:rsidRPr="00562A71">
              <w:rPr>
                <w:rFonts w:ascii="Times New Roman" w:eastAsia="Times New Roman" w:hAnsi="Times New Roman" w:cs="Times New Roman"/>
                <w:b/>
                <w:bCs/>
                <w:color w:val="777777"/>
                <w:sz w:val="24"/>
                <w:szCs w:val="24"/>
              </w:rPr>
              <w:lastRenderedPageBreak/>
              <w:t>    Total number of doses imported by income group</w:t>
            </w:r>
          </w:p>
        </w:tc>
      </w:tr>
      <w:tr w:rsidR="00562A71" w:rsidRPr="00562A71" w:rsidTr="00562A71">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Income Group Imports</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Number of doses (million)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Doses per 100 people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Population (million)</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Low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390.6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55.5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704.3</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Lower middle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2,206.5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73.7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2,995.4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Upper middle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2,376.2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81.1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2,930.4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High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1,195.3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96.0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1,244.6</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i/>
                <w:iCs/>
                <w:sz w:val="24"/>
                <w:szCs w:val="24"/>
              </w:rPr>
              <w:t>Note: </w:t>
            </w:r>
            <w:r w:rsidRPr="00562A71">
              <w:rPr>
                <w:rFonts w:ascii="Times New Roman" w:eastAsia="Times New Roman" w:hAnsi="Times New Roman" w:cs="Times New Roman"/>
                <w:sz w:val="24"/>
                <w:szCs w:val="24"/>
              </w:rPr>
              <w:t>as of 31 May 2022</w:t>
            </w: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4. Total Supply</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Total supply contains both exported and domestically delivered doses.</w:t>
      </w:r>
    </w:p>
    <w:p w:rsidR="00562A71" w:rsidRPr="00562A71" w:rsidRDefault="00562A71" w:rsidP="00562A71">
      <w:pPr>
        <w:numPr>
          <w:ilvl w:val="0"/>
          <w:numId w:val="3"/>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3" w:anchor="by-producing-economy-1" w:history="1">
        <w:r w:rsidRPr="00562A71">
          <w:rPr>
            <w:rFonts w:ascii="Times New Roman" w:eastAsia="Times New Roman" w:hAnsi="Times New Roman" w:cs="Times New Roman"/>
            <w:color w:val="555555"/>
            <w:sz w:val="24"/>
            <w:szCs w:val="24"/>
            <w:u w:val="single"/>
            <w:bdr w:val="single" w:sz="6" w:space="8" w:color="auto" w:frame="1"/>
            <w:shd w:val="clear" w:color="auto" w:fill="FFFFFF"/>
          </w:rPr>
          <w:t>By producing economy</w:t>
        </w:r>
      </w:hyperlink>
    </w:p>
    <w:p w:rsidR="00562A71" w:rsidRPr="00562A71" w:rsidRDefault="00562A71" w:rsidP="00562A71">
      <w:pPr>
        <w:numPr>
          <w:ilvl w:val="0"/>
          <w:numId w:val="3"/>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4" w:anchor="by-vaccine-type" w:history="1">
        <w:r w:rsidRPr="00562A71">
          <w:rPr>
            <w:rFonts w:ascii="Times New Roman" w:eastAsia="Times New Roman" w:hAnsi="Times New Roman" w:cs="Times New Roman"/>
            <w:color w:val="337AB7"/>
            <w:sz w:val="24"/>
            <w:szCs w:val="24"/>
            <w:u w:val="single"/>
          </w:rPr>
          <w:t>By vaccine type</w:t>
        </w:r>
      </w:hyperlink>
    </w:p>
    <w:p w:rsidR="00562A71" w:rsidRPr="00562A71" w:rsidRDefault="00562A71" w:rsidP="00562A71">
      <w:pPr>
        <w:spacing w:after="150" w:line="240" w:lineRule="auto"/>
        <w:rPr>
          <w:rFonts w:ascii="Times New Roman" w:eastAsia="Times New Roman" w:hAnsi="Times New Roman" w:cs="Times New Roman"/>
          <w:sz w:val="24"/>
          <w:szCs w:val="24"/>
        </w:rPr>
      </w:pPr>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396"/>
        <w:gridCol w:w="3694"/>
        <w:gridCol w:w="1012"/>
        <w:gridCol w:w="2642"/>
        <w:gridCol w:w="2906"/>
      </w:tblGrid>
      <w:tr w:rsidR="00562A71" w:rsidRPr="00562A71" w:rsidTr="00562A71">
        <w:trPr>
          <w:tblHeader/>
        </w:trPr>
        <w:tc>
          <w:tcPr>
            <w:tcW w:w="0" w:type="auto"/>
            <w:gridSpan w:val="5"/>
            <w:tcBorders>
              <w:top w:val="nil"/>
              <w:left w:val="nil"/>
              <w:bottom w:val="nil"/>
              <w:right w:val="nil"/>
            </w:tcBorders>
            <w:shd w:val="clear" w:color="auto" w:fill="auto"/>
            <w:tcMar>
              <w:top w:w="75" w:type="dxa"/>
              <w:left w:w="75" w:type="dxa"/>
              <w:bottom w:w="75" w:type="dxa"/>
              <w:right w:w="75" w:type="dxa"/>
            </w:tcMar>
            <w:vAlign w:val="center"/>
            <w:hideMark/>
          </w:tcPr>
          <w:p w:rsidR="00562A71" w:rsidRPr="00562A71" w:rsidRDefault="00562A71" w:rsidP="00562A71">
            <w:pPr>
              <w:spacing w:after="300" w:line="240" w:lineRule="auto"/>
              <w:rPr>
                <w:rFonts w:ascii="Times New Roman" w:eastAsia="Times New Roman" w:hAnsi="Times New Roman" w:cs="Times New Roman"/>
                <w:color w:val="777777"/>
                <w:sz w:val="24"/>
                <w:szCs w:val="24"/>
              </w:rPr>
            </w:pPr>
            <w:r w:rsidRPr="00562A71">
              <w:rPr>
                <w:rFonts w:ascii="Times New Roman" w:eastAsia="Times New Roman" w:hAnsi="Times New Roman" w:cs="Times New Roman"/>
                <w:b/>
                <w:bCs/>
                <w:color w:val="777777"/>
                <w:sz w:val="24"/>
                <w:szCs w:val="24"/>
              </w:rPr>
              <w:t>    Total supply by producing economy</w:t>
            </w:r>
          </w:p>
        </w:tc>
      </w:tr>
      <w:tr w:rsidR="00562A71" w:rsidRPr="00562A71" w:rsidTr="00562A71">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Producing economy</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Number of doses (million)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Share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Cumulative Share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Population (million)</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China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6,077.3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40.1%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40.1%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1,444.2</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European Union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3,721.0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24.6%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64.7%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447.0</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India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2,465.6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16.3%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80.9%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1,393.4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United States of America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1,609.8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10.6%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91.6%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332.9</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lastRenderedPageBreak/>
              <w:t>Russian Federation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286.2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93.4%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145.9</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Korea, Republic of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263.5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95.2%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51.3</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Brazil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172.3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96.3%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214.0</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Mexico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138.2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0.9%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97.2%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130.3</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South Africa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125.2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0.8%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98.1%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60.0</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Thailand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95.1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0.6%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98.7%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70.0</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Other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198.9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i/>
                <w:iCs/>
                <w:sz w:val="24"/>
                <w:szCs w:val="24"/>
              </w:rPr>
              <w:t>Note: </w:t>
            </w:r>
            <w:r w:rsidRPr="00562A71">
              <w:rPr>
                <w:rFonts w:ascii="Times New Roman" w:eastAsia="Times New Roman" w:hAnsi="Times New Roman" w:cs="Times New Roman"/>
                <w:sz w:val="24"/>
                <w:szCs w:val="24"/>
              </w:rPr>
              <w:t>as of 31 May 2022</w:t>
            </w: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5. Supply to Continents</w:t>
      </w:r>
    </w:p>
    <w:bookmarkStart w:id="1" w:name="africa"/>
    <w:bookmarkEnd w:id="1"/>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fldChar w:fldCharType="begin"/>
      </w:r>
      <w:r w:rsidRPr="00562A71">
        <w:rPr>
          <w:rFonts w:ascii="Times New Roman" w:eastAsia="Times New Roman" w:hAnsi="Times New Roman" w:cs="Times New Roman"/>
          <w:sz w:val="24"/>
          <w:szCs w:val="24"/>
        </w:rPr>
        <w:instrText xml:space="preserve"> HYPERLINK "https://www.wto.org/english/tratop_e/covid19_e/vaccine_trade_tracker_12_11_2021.html" \l "africa" </w:instrText>
      </w:r>
      <w:r w:rsidRPr="00562A71">
        <w:rPr>
          <w:rFonts w:ascii="Times New Roman" w:eastAsia="Times New Roman" w:hAnsi="Times New Roman" w:cs="Times New Roman"/>
          <w:sz w:val="24"/>
          <w:szCs w:val="24"/>
        </w:rPr>
        <w:fldChar w:fldCharType="separate"/>
      </w:r>
      <w:r w:rsidRPr="00562A71">
        <w:rPr>
          <w:rFonts w:ascii="Times New Roman" w:eastAsia="Times New Roman" w:hAnsi="Times New Roman" w:cs="Times New Roman"/>
          <w:color w:val="555555"/>
          <w:sz w:val="24"/>
          <w:szCs w:val="24"/>
          <w:u w:val="single"/>
          <w:bdr w:val="single" w:sz="6" w:space="8" w:color="auto" w:frame="1"/>
          <w:shd w:val="clear" w:color="auto" w:fill="FFFFFF"/>
        </w:rPr>
        <w:t>Africa</w:t>
      </w:r>
      <w:r w:rsidRPr="00562A71">
        <w:rPr>
          <w:rFonts w:ascii="Times New Roman" w:eastAsia="Times New Roman" w:hAnsi="Times New Roman" w:cs="Times New Roman"/>
          <w:sz w:val="24"/>
          <w:szCs w:val="24"/>
        </w:rPr>
        <w:fldChar w:fldCharType="end"/>
      </w:r>
    </w:p>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5" w:anchor="asia" w:history="1">
        <w:r w:rsidRPr="00562A71">
          <w:rPr>
            <w:rFonts w:ascii="Times New Roman" w:eastAsia="Times New Roman" w:hAnsi="Times New Roman" w:cs="Times New Roman"/>
            <w:color w:val="337AB7"/>
            <w:sz w:val="24"/>
            <w:szCs w:val="24"/>
            <w:u w:val="single"/>
          </w:rPr>
          <w:t>Asia</w:t>
        </w:r>
      </w:hyperlink>
    </w:p>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6" w:anchor="europe" w:history="1">
        <w:r w:rsidRPr="00562A71">
          <w:rPr>
            <w:rFonts w:ascii="Times New Roman" w:eastAsia="Times New Roman" w:hAnsi="Times New Roman" w:cs="Times New Roman"/>
            <w:color w:val="337AB7"/>
            <w:sz w:val="24"/>
            <w:szCs w:val="24"/>
            <w:u w:val="single"/>
          </w:rPr>
          <w:t>Europe</w:t>
        </w:r>
      </w:hyperlink>
    </w:p>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7" w:anchor="north-america" w:history="1">
        <w:r w:rsidRPr="00562A71">
          <w:rPr>
            <w:rFonts w:ascii="Times New Roman" w:eastAsia="Times New Roman" w:hAnsi="Times New Roman" w:cs="Times New Roman"/>
            <w:color w:val="337AB7"/>
            <w:sz w:val="24"/>
            <w:szCs w:val="24"/>
            <w:u w:val="single"/>
          </w:rPr>
          <w:t>North America</w:t>
        </w:r>
      </w:hyperlink>
    </w:p>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8" w:anchor="oceania" w:history="1">
        <w:r w:rsidRPr="00562A71">
          <w:rPr>
            <w:rFonts w:ascii="Times New Roman" w:eastAsia="Times New Roman" w:hAnsi="Times New Roman" w:cs="Times New Roman"/>
            <w:color w:val="337AB7"/>
            <w:sz w:val="24"/>
            <w:szCs w:val="24"/>
            <w:u w:val="single"/>
          </w:rPr>
          <w:t>Oceania</w:t>
        </w:r>
      </w:hyperlink>
    </w:p>
    <w:p w:rsidR="00562A71" w:rsidRPr="00562A71" w:rsidRDefault="00562A71" w:rsidP="00562A71">
      <w:pPr>
        <w:numPr>
          <w:ilvl w:val="0"/>
          <w:numId w:val="4"/>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19" w:anchor="south-america" w:history="1">
        <w:r w:rsidRPr="00562A71">
          <w:rPr>
            <w:rFonts w:ascii="Times New Roman" w:eastAsia="Times New Roman" w:hAnsi="Times New Roman" w:cs="Times New Roman"/>
            <w:color w:val="337AB7"/>
            <w:sz w:val="24"/>
            <w:szCs w:val="24"/>
            <w:u w:val="single"/>
          </w:rPr>
          <w:t>South America</w:t>
        </w:r>
      </w:hyperlink>
    </w:p>
    <w:p w:rsidR="00562A71" w:rsidRPr="00562A71" w:rsidRDefault="00562A71" w:rsidP="00562A71">
      <w:pPr>
        <w:spacing w:before="150" w:after="150" w:line="240" w:lineRule="auto"/>
        <w:outlineLvl w:val="3"/>
        <w:rPr>
          <w:rFonts w:ascii="inherit" w:eastAsia="Times New Roman" w:hAnsi="inherit" w:cs="Times New Roman"/>
          <w:sz w:val="27"/>
          <w:szCs w:val="27"/>
        </w:rPr>
      </w:pPr>
      <w:r w:rsidRPr="00562A71">
        <w:rPr>
          <w:rFonts w:ascii="inherit" w:eastAsia="Times New Roman" w:hAnsi="inherit" w:cs="Times New Roman"/>
          <w:sz w:val="27"/>
          <w:szCs w:val="27"/>
        </w:rPr>
        <w:t>Total doses received: 970.8 million</w:t>
      </w:r>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6411"/>
        <w:gridCol w:w="5682"/>
        <w:gridCol w:w="1557"/>
      </w:tblGrid>
      <w:tr w:rsidR="00562A71" w:rsidRPr="00562A71" w:rsidTr="00562A71">
        <w:trPr>
          <w:tblHeader/>
        </w:trPr>
        <w:tc>
          <w:tcPr>
            <w:tcW w:w="0" w:type="auto"/>
            <w:gridSpan w:val="3"/>
            <w:tcBorders>
              <w:top w:val="nil"/>
              <w:left w:val="nil"/>
              <w:bottom w:val="nil"/>
              <w:right w:val="nil"/>
            </w:tcBorders>
            <w:shd w:val="clear" w:color="auto" w:fill="auto"/>
            <w:tcMar>
              <w:top w:w="75" w:type="dxa"/>
              <w:left w:w="75" w:type="dxa"/>
              <w:bottom w:w="75" w:type="dxa"/>
              <w:right w:w="75" w:type="dxa"/>
            </w:tcMar>
            <w:vAlign w:val="center"/>
            <w:hideMark/>
          </w:tcPr>
          <w:p w:rsidR="00562A71" w:rsidRPr="00562A71" w:rsidRDefault="00562A71" w:rsidP="00562A71">
            <w:pPr>
              <w:spacing w:after="300" w:line="240" w:lineRule="auto"/>
              <w:rPr>
                <w:rFonts w:ascii="Times New Roman" w:eastAsia="Times New Roman" w:hAnsi="Times New Roman" w:cs="Times New Roman"/>
                <w:color w:val="777777"/>
                <w:sz w:val="24"/>
                <w:szCs w:val="24"/>
              </w:rPr>
            </w:pPr>
            <w:r w:rsidRPr="00562A71">
              <w:rPr>
                <w:rFonts w:ascii="Times New Roman" w:eastAsia="Times New Roman" w:hAnsi="Times New Roman" w:cs="Times New Roman"/>
                <w:b/>
                <w:bCs/>
                <w:color w:val="777777"/>
                <w:sz w:val="24"/>
                <w:szCs w:val="24"/>
              </w:rPr>
              <w:t>    Supply by arrangement type</w:t>
            </w:r>
          </w:p>
        </w:tc>
      </w:tr>
      <w:tr w:rsidR="00562A71" w:rsidRPr="00562A71" w:rsidTr="00562A71">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Arrangement type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Number of doses (million)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Share</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lastRenderedPageBreak/>
              <w:t>Contracted supply via COVAX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208.8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21.5%</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Direct donations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67.4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6.9%</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Domestic supply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15.0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1.5%</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Donations via COVAX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447.8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46.1%</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Supply via AVAT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110.4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Supply via bilateral deals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121.4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12.5%</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Total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970.8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i/>
                <w:iCs/>
                <w:sz w:val="24"/>
                <w:szCs w:val="24"/>
              </w:rPr>
              <w:t>Note: </w:t>
            </w:r>
            <w:r w:rsidRPr="00562A71">
              <w:rPr>
                <w:rFonts w:ascii="Times New Roman" w:eastAsia="Times New Roman" w:hAnsi="Times New Roman" w:cs="Times New Roman"/>
                <w:sz w:val="24"/>
                <w:szCs w:val="24"/>
              </w:rPr>
              <w:t>as of 31 May 2022</w:t>
            </w: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after="0" w:line="240" w:lineRule="auto"/>
        <w:rPr>
          <w:rFonts w:ascii="Times New Roman" w:eastAsia="Times New Roman" w:hAnsi="Times New Roman" w:cs="Times New Roman"/>
          <w:vanish/>
          <w:sz w:val="24"/>
          <w:szCs w:val="24"/>
        </w:rPr>
      </w:pPr>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637"/>
        <w:gridCol w:w="1757"/>
        <w:gridCol w:w="2101"/>
        <w:gridCol w:w="1462"/>
        <w:gridCol w:w="1457"/>
        <w:gridCol w:w="1779"/>
        <w:gridCol w:w="1585"/>
        <w:gridCol w:w="1872"/>
      </w:tblGrid>
      <w:tr w:rsidR="00562A71" w:rsidRPr="00562A71" w:rsidTr="00562A71">
        <w:trPr>
          <w:tblHeader/>
        </w:trPr>
        <w:tc>
          <w:tcPr>
            <w:tcW w:w="0" w:type="auto"/>
            <w:gridSpan w:val="8"/>
            <w:tcBorders>
              <w:top w:val="nil"/>
              <w:left w:val="nil"/>
              <w:bottom w:val="nil"/>
              <w:right w:val="nil"/>
            </w:tcBorders>
            <w:shd w:val="clear" w:color="auto" w:fill="auto"/>
            <w:tcMar>
              <w:top w:w="75" w:type="dxa"/>
              <w:left w:w="75" w:type="dxa"/>
              <w:bottom w:w="75" w:type="dxa"/>
              <w:right w:w="75" w:type="dxa"/>
            </w:tcMar>
            <w:vAlign w:val="center"/>
            <w:hideMark/>
          </w:tcPr>
          <w:p w:rsidR="00562A71" w:rsidRPr="00562A71" w:rsidRDefault="00562A71" w:rsidP="00562A71">
            <w:pPr>
              <w:spacing w:after="300" w:line="240" w:lineRule="auto"/>
              <w:rPr>
                <w:rFonts w:ascii="Times New Roman" w:eastAsia="Times New Roman" w:hAnsi="Times New Roman" w:cs="Times New Roman"/>
                <w:color w:val="777777"/>
                <w:sz w:val="24"/>
                <w:szCs w:val="24"/>
              </w:rPr>
            </w:pPr>
            <w:r w:rsidRPr="00562A71">
              <w:rPr>
                <w:rFonts w:ascii="Times New Roman" w:eastAsia="Times New Roman" w:hAnsi="Times New Roman" w:cs="Times New Roman"/>
                <w:b/>
                <w:bCs/>
                <w:color w:val="777777"/>
                <w:sz w:val="24"/>
                <w:szCs w:val="24"/>
              </w:rPr>
              <w:t>    Supply by producing economy</w:t>
            </w:r>
          </w:p>
        </w:tc>
      </w:tr>
      <w:tr w:rsidR="00562A71" w:rsidRPr="00562A71" w:rsidTr="00562A71">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Source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Total number of doses</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Contracted supply via COVAX</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Direct donations</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Domestic supply</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Donations via COVAX</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Supply via AVAT</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Supply via bilateral deals</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United States of America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466,087,411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92,937,192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9,215,770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359,030,460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4,903,989</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European Union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155,919,716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43,813,566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21,952,160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69,978,944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20,175,045</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China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142,196,662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32,576,800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32,597,810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77,022,052</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South Africa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125,175,547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14,770,437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110,381,800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23,310.32</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lastRenderedPageBreak/>
              <w:t>India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39,202,000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22,243,000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1,005,000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15,954,000</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Other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42,199,521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17,248,000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2,598,850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238,856.4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18,777,656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3,336,159</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Total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970,780,858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208,818,558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67,369,590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15,009,293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447,787,060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110,381,800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b/>
                <w:bCs/>
                <w:sz w:val="24"/>
                <w:szCs w:val="24"/>
              </w:rPr>
              <w:t>121,414,556</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i/>
                <w:iCs/>
                <w:sz w:val="24"/>
                <w:szCs w:val="24"/>
              </w:rPr>
              <w:t>Note: </w:t>
            </w:r>
            <w:r w:rsidRPr="00562A71">
              <w:rPr>
                <w:rFonts w:ascii="Times New Roman" w:eastAsia="Times New Roman" w:hAnsi="Times New Roman" w:cs="Times New Roman"/>
                <w:sz w:val="24"/>
                <w:szCs w:val="24"/>
              </w:rPr>
              <w:t>as of 31 May 2022</w:t>
            </w: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bookmarkStart w:id="2" w:name="asia"/>
      <w:bookmarkEnd w:id="2"/>
      <w:r w:rsidRPr="00562A71">
        <w:rPr>
          <w:rFonts w:ascii="inherit" w:eastAsia="Times New Roman" w:hAnsi="inherit" w:cs="Times New Roman"/>
          <w:kern w:val="36"/>
          <w:sz w:val="51"/>
          <w:szCs w:val="51"/>
        </w:rPr>
        <w:t>6. Vaccination Status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A course is defined as a series of vaccine doses required to be fully vaccinated. For COVID-19 vaccines that require two shots, the number of courses is the number of vaccine doses divided by two. For COVID-19 vaccines that require only one shot, the number of courses is the number of vaccine doses.</w:t>
      </w:r>
    </w:p>
    <w:p w:rsidR="00562A71" w:rsidRPr="00562A71" w:rsidRDefault="00562A71" w:rsidP="00562A71">
      <w:pPr>
        <w:numPr>
          <w:ilvl w:val="0"/>
          <w:numId w:val="5"/>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20" w:anchor="by-income-group-1" w:history="1">
        <w:r w:rsidRPr="00562A71">
          <w:rPr>
            <w:rFonts w:ascii="Times New Roman" w:eastAsia="Times New Roman" w:hAnsi="Times New Roman" w:cs="Times New Roman"/>
            <w:color w:val="555555"/>
            <w:sz w:val="24"/>
            <w:szCs w:val="24"/>
            <w:u w:val="single"/>
            <w:bdr w:val="single" w:sz="6" w:space="8" w:color="auto" w:frame="1"/>
            <w:shd w:val="clear" w:color="auto" w:fill="FFFFFF"/>
          </w:rPr>
          <w:t>By income group</w:t>
        </w:r>
      </w:hyperlink>
    </w:p>
    <w:p w:rsidR="00562A71" w:rsidRPr="00562A71" w:rsidRDefault="00562A71" w:rsidP="00562A71">
      <w:pPr>
        <w:numPr>
          <w:ilvl w:val="0"/>
          <w:numId w:val="5"/>
        </w:numPr>
        <w:pBdr>
          <w:bottom w:val="single" w:sz="6" w:space="0" w:color="DDDDDD"/>
        </w:pBdr>
        <w:spacing w:before="100" w:beforeAutospacing="1" w:after="0" w:line="240" w:lineRule="auto"/>
        <w:rPr>
          <w:rFonts w:ascii="Times New Roman" w:eastAsia="Times New Roman" w:hAnsi="Times New Roman" w:cs="Times New Roman"/>
          <w:sz w:val="24"/>
          <w:szCs w:val="24"/>
        </w:rPr>
      </w:pPr>
      <w:hyperlink r:id="rId21" w:anchor="by-continent-1" w:history="1">
        <w:r w:rsidRPr="00562A71">
          <w:rPr>
            <w:rFonts w:ascii="Times New Roman" w:eastAsia="Times New Roman" w:hAnsi="Times New Roman" w:cs="Times New Roman"/>
            <w:color w:val="337AB7"/>
            <w:sz w:val="24"/>
            <w:szCs w:val="24"/>
            <w:u w:val="single"/>
          </w:rPr>
          <w:t>By Continent</w:t>
        </w:r>
      </w:hyperlink>
    </w:p>
    <w:tbl>
      <w:tblPr>
        <w:tblW w:w="13650" w:type="dxa"/>
        <w:tblBorders>
          <w:top w:val="single" w:sz="6" w:space="0" w:color="DDDDDD"/>
          <w:left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672"/>
        <w:gridCol w:w="2406"/>
        <w:gridCol w:w="2820"/>
        <w:gridCol w:w="3062"/>
        <w:gridCol w:w="1941"/>
        <w:gridCol w:w="1749"/>
      </w:tblGrid>
      <w:tr w:rsidR="00562A71" w:rsidRPr="00562A71" w:rsidTr="00562A71">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Income group</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Number of doses supplied (million)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Number of courses supplied per 100 people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Percent with at least one dose administered</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Percent fully vaccinated</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2A71" w:rsidRPr="00562A71" w:rsidRDefault="00562A71" w:rsidP="00562A71">
            <w:pPr>
              <w:spacing w:after="300" w:line="240" w:lineRule="auto"/>
              <w:jc w:val="right"/>
              <w:rPr>
                <w:rFonts w:ascii="Times New Roman" w:eastAsia="Times New Roman" w:hAnsi="Times New Roman" w:cs="Times New Roman"/>
                <w:b/>
                <w:bCs/>
                <w:sz w:val="24"/>
                <w:szCs w:val="24"/>
              </w:rPr>
            </w:pPr>
            <w:r w:rsidRPr="00562A71">
              <w:rPr>
                <w:rFonts w:ascii="Times New Roman" w:eastAsia="Times New Roman" w:hAnsi="Times New Roman" w:cs="Times New Roman"/>
                <w:b/>
                <w:bCs/>
                <w:sz w:val="24"/>
                <w:szCs w:val="24"/>
              </w:rPr>
              <w:t>Population (million)</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Low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390.6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27.7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17.3%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14.1%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704.3</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Lower middle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4,543.7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75.8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59.3%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51.8%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2,995.4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Upper middle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7,007.6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119.6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79.1%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73.9%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2,930.4</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High income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3,211.2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129.0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78.6%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73.8%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562A71" w:rsidRPr="00562A71" w:rsidRDefault="00562A71" w:rsidP="00562A71">
            <w:pPr>
              <w:spacing w:after="300" w:line="240" w:lineRule="auto"/>
              <w:jc w:val="right"/>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1,244.6</w:t>
            </w:r>
          </w:p>
        </w:tc>
      </w:tr>
      <w:tr w:rsidR="00562A71" w:rsidRPr="00562A71" w:rsidTr="00562A71">
        <w:tc>
          <w:tcPr>
            <w:tcW w:w="0" w:type="auto"/>
            <w:tcBorders>
              <w:top w:val="single" w:sz="6" w:space="0" w:color="DDDDDD"/>
              <w:left w:val="single" w:sz="6" w:space="0" w:color="DDDDDD"/>
              <w:bottom w:val="single" w:sz="6" w:space="0" w:color="DDDDDD"/>
              <w:right w:val="single" w:sz="6" w:space="0" w:color="DDDDDD"/>
            </w:tcBorders>
            <w:shd w:val="clear" w:color="auto" w:fill="auto"/>
            <w:tcMar>
              <w:top w:w="0" w:type="dxa"/>
              <w:left w:w="0" w:type="dxa"/>
              <w:bottom w:w="0" w:type="dxa"/>
              <w:right w:w="0" w:type="dxa"/>
            </w:tcMar>
            <w:hideMark/>
          </w:tcPr>
          <w:p w:rsidR="00562A71" w:rsidRPr="00562A71" w:rsidRDefault="00562A71" w:rsidP="00562A71">
            <w:pPr>
              <w:spacing w:after="30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i/>
                <w:iCs/>
                <w:sz w:val="24"/>
                <w:szCs w:val="24"/>
              </w:rPr>
              <w:lastRenderedPageBreak/>
              <w:t>Note: </w:t>
            </w:r>
            <w:r w:rsidRPr="00562A71">
              <w:rPr>
                <w:rFonts w:ascii="Times New Roman" w:eastAsia="Times New Roman" w:hAnsi="Times New Roman" w:cs="Times New Roman"/>
                <w:sz w:val="24"/>
                <w:szCs w:val="24"/>
              </w:rPr>
              <w:t>as of 31 May 2022</w:t>
            </w: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562A71" w:rsidRPr="00562A71" w:rsidRDefault="00562A71" w:rsidP="00562A71">
            <w:pPr>
              <w:spacing w:after="0" w:line="240" w:lineRule="auto"/>
              <w:rPr>
                <w:rFonts w:ascii="Times New Roman" w:eastAsia="Times New Roman" w:hAnsi="Times New Roman" w:cs="Times New Roman"/>
                <w:sz w:val="20"/>
                <w:szCs w:val="20"/>
              </w:rPr>
            </w:pPr>
          </w:p>
        </w:tc>
      </w:tr>
    </w:tbl>
    <w:p w:rsidR="00562A71" w:rsidRPr="00562A71" w:rsidRDefault="00562A71" w:rsidP="00562A71">
      <w:pPr>
        <w:spacing w:before="300" w:after="150" w:line="240" w:lineRule="auto"/>
        <w:outlineLvl w:val="0"/>
        <w:rPr>
          <w:rFonts w:ascii="inherit" w:eastAsia="Times New Roman" w:hAnsi="inherit" w:cs="Times New Roman"/>
          <w:kern w:val="36"/>
          <w:sz w:val="51"/>
          <w:szCs w:val="51"/>
        </w:rPr>
      </w:pPr>
      <w:r w:rsidRPr="00562A71">
        <w:rPr>
          <w:rFonts w:ascii="inherit" w:eastAsia="Times New Roman" w:hAnsi="inherit" w:cs="Times New Roman"/>
          <w:kern w:val="36"/>
          <w:sz w:val="51"/>
          <w:szCs w:val="51"/>
        </w:rPr>
        <w:t>Sources and Notes</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 xml:space="preserve">This database draws information from the public domain, COVAX Global Vaccine Market Assessment, the United Nations Children’s Emergency Fund (UNICEF), Duke Global Health Innovation Center, </w:t>
      </w:r>
      <w:proofErr w:type="gramStart"/>
      <w:r w:rsidRPr="00562A71">
        <w:rPr>
          <w:rFonts w:ascii="Times New Roman" w:eastAsia="Times New Roman" w:hAnsi="Times New Roman" w:cs="Times New Roman"/>
          <w:sz w:val="24"/>
          <w:szCs w:val="24"/>
        </w:rPr>
        <w:t>Our</w:t>
      </w:r>
      <w:proofErr w:type="gramEnd"/>
      <w:r w:rsidRPr="00562A71">
        <w:rPr>
          <w:rFonts w:ascii="Times New Roman" w:eastAsia="Times New Roman" w:hAnsi="Times New Roman" w:cs="Times New Roman"/>
          <w:sz w:val="24"/>
          <w:szCs w:val="24"/>
        </w:rPr>
        <w:t xml:space="preserve"> World in Data, the World Bank Group, Asian Development Bank, and African Vaccine Acquisition Task Team (AVATT).</w:t>
      </w:r>
    </w:p>
    <w:p w:rsidR="00562A71" w:rsidRPr="00562A71" w:rsidRDefault="00562A71" w:rsidP="00562A71">
      <w:pPr>
        <w:spacing w:after="150" w:line="240" w:lineRule="auto"/>
        <w:rPr>
          <w:rFonts w:ascii="Times New Roman" w:eastAsia="Times New Roman" w:hAnsi="Times New Roman" w:cs="Times New Roman"/>
          <w:sz w:val="24"/>
          <w:szCs w:val="24"/>
        </w:rPr>
      </w:pPr>
      <w:r w:rsidRPr="00562A71">
        <w:rPr>
          <w:rFonts w:ascii="Times New Roman" w:eastAsia="Times New Roman" w:hAnsi="Times New Roman" w:cs="Times New Roman"/>
          <w:sz w:val="24"/>
          <w:szCs w:val="24"/>
        </w:rPr>
        <w:t>This data is preliminary and will be subject to revisions in collaboration with economies and areas, suppliers, immunization, health and financing partners. This tracker is updated every week to reflect latest developments. For additional information or inquiries, please contact </w:t>
      </w:r>
      <w:hyperlink r:id="rId22" w:history="1">
        <w:r w:rsidRPr="00562A71">
          <w:rPr>
            <w:rFonts w:ascii="Times New Roman" w:eastAsia="Times New Roman" w:hAnsi="Times New Roman" w:cs="Times New Roman"/>
            <w:color w:val="337AB7"/>
            <w:sz w:val="24"/>
            <w:szCs w:val="24"/>
            <w:u w:val="single"/>
          </w:rPr>
          <w:t>vaccinetracker@imf.org</w:t>
        </w:r>
      </w:hyperlink>
      <w:r w:rsidRPr="00562A71">
        <w:rPr>
          <w:rFonts w:ascii="Times New Roman" w:eastAsia="Times New Roman" w:hAnsi="Times New Roman" w:cs="Times New Roman"/>
          <w:sz w:val="24"/>
          <w:szCs w:val="24"/>
        </w:rPr>
        <w:t> or </w:t>
      </w:r>
      <w:hyperlink r:id="rId23" w:history="1">
        <w:r w:rsidRPr="00562A71">
          <w:rPr>
            <w:rFonts w:ascii="Times New Roman" w:eastAsia="Times New Roman" w:hAnsi="Times New Roman" w:cs="Times New Roman"/>
            <w:color w:val="337AB7"/>
            <w:sz w:val="24"/>
            <w:szCs w:val="24"/>
            <w:u w:val="single"/>
          </w:rPr>
          <w:t>vaccinetradetracker@wto.org</w:t>
        </w:r>
      </w:hyperlink>
      <w:r w:rsidRPr="00562A71">
        <w:rPr>
          <w:rFonts w:ascii="Times New Roman" w:eastAsia="Times New Roman" w:hAnsi="Times New Roman" w:cs="Times New Roman"/>
          <w:sz w:val="24"/>
          <w:szCs w:val="24"/>
        </w:rPr>
        <w:t>.</w:t>
      </w:r>
    </w:p>
    <w:p w:rsidR="00562A71" w:rsidRPr="00562A71" w:rsidRDefault="00562A71" w:rsidP="00562A71">
      <w:pPr>
        <w:shd w:val="clear" w:color="auto" w:fill="FFFFFF"/>
        <w:spacing w:before="300" w:after="150" w:line="240" w:lineRule="auto"/>
        <w:outlineLvl w:val="0"/>
        <w:rPr>
          <w:rFonts w:ascii="Helvetica" w:eastAsia="Times New Roman" w:hAnsi="Helvetica" w:cs="Times New Roman"/>
          <w:color w:val="333333"/>
          <w:kern w:val="36"/>
          <w:sz w:val="51"/>
          <w:szCs w:val="51"/>
        </w:rPr>
      </w:pPr>
      <w:r w:rsidRPr="00562A71">
        <w:rPr>
          <w:rFonts w:ascii="Helvetica" w:eastAsia="Times New Roman" w:hAnsi="Helvetica" w:cs="Times New Roman"/>
          <w:color w:val="333333"/>
          <w:kern w:val="36"/>
          <w:sz w:val="51"/>
          <w:szCs w:val="51"/>
        </w:rPr>
        <w:t>Disclaimer</w:t>
      </w:r>
    </w:p>
    <w:p w:rsidR="00562A71" w:rsidRPr="00562A71" w:rsidRDefault="00562A71" w:rsidP="00562A71">
      <w:pPr>
        <w:shd w:val="clear" w:color="auto" w:fill="FFFFFF"/>
        <w:spacing w:after="150" w:line="240" w:lineRule="auto"/>
        <w:rPr>
          <w:rFonts w:ascii="Helvetica" w:eastAsia="Times New Roman" w:hAnsi="Helvetica" w:cs="Times New Roman"/>
          <w:color w:val="333333"/>
          <w:sz w:val="21"/>
          <w:szCs w:val="21"/>
        </w:rPr>
      </w:pPr>
      <w:r w:rsidRPr="00562A71">
        <w:rPr>
          <w:rFonts w:ascii="Helvetica" w:eastAsia="Times New Roman" w:hAnsi="Helvetica" w:cs="Times New Roman"/>
          <w:color w:val="333333"/>
          <w:sz w:val="21"/>
          <w:szCs w:val="21"/>
        </w:rPr>
        <w:t>The WTO and IMF accept no responsibility whatsoever for any inaccurate or incomplete information or data that may be included in this database, and expressly disclaims any liability for damages as a result of its use. The responsibility for the interpretation and use of the content lies with the user. The WTO and IMF assume no responsibility or liability for any consequence resulting directly or indirectly from any action or inaction users take based on or made in reliance on the information and data available in this database.</w:t>
      </w:r>
    </w:p>
    <w:p w:rsidR="00562A71" w:rsidRPr="00562A71" w:rsidRDefault="00562A71" w:rsidP="00562A71">
      <w:pPr>
        <w:shd w:val="clear" w:color="auto" w:fill="FFFFFF"/>
        <w:spacing w:after="150" w:line="240" w:lineRule="auto"/>
        <w:rPr>
          <w:rFonts w:ascii="Helvetica" w:eastAsia="Times New Roman" w:hAnsi="Helvetica" w:cs="Times New Roman"/>
          <w:color w:val="333333"/>
          <w:sz w:val="21"/>
          <w:szCs w:val="21"/>
        </w:rPr>
      </w:pPr>
      <w:r w:rsidRPr="00562A71">
        <w:rPr>
          <w:rFonts w:ascii="Helvetica" w:eastAsia="Times New Roman" w:hAnsi="Helvetica" w:cs="Times New Roman"/>
          <w:color w:val="333333"/>
          <w:sz w:val="21"/>
          <w:szCs w:val="21"/>
        </w:rPr>
        <w:t>The designations employed and the presentation of the material in this WTO-IMF COVID-19 Vaccine Trade Tracker follow exclusively the institutional style and practice of the WTO, and may be at variance with those used by IMF. The material presented in WTO-IMF COVID-19 Vaccine Trade Tracker does not imply the expression of any opinion whatsoever on the part of IMF and WTO concerning the legal status of any country, territory, city or area or of its authorities, or concerning the delimitation of its frontiers or boundaries.</w:t>
      </w:r>
    </w:p>
    <w:p w:rsidR="00D31AA7" w:rsidRDefault="00D31AA7"/>
    <w:sectPr w:rsidR="00D31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CE8"/>
    <w:multiLevelType w:val="multilevel"/>
    <w:tmpl w:val="E37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A343FF"/>
    <w:multiLevelType w:val="multilevel"/>
    <w:tmpl w:val="905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2F2729"/>
    <w:multiLevelType w:val="multilevel"/>
    <w:tmpl w:val="1BA6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4C16CC"/>
    <w:multiLevelType w:val="multilevel"/>
    <w:tmpl w:val="9020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9E0FCD"/>
    <w:multiLevelType w:val="multilevel"/>
    <w:tmpl w:val="98A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A71"/>
    <w:rsid w:val="00562A71"/>
    <w:rsid w:val="005D5C79"/>
    <w:rsid w:val="00AA472D"/>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62A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562A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62A7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A71"/>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562A7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62A7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62A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2A71"/>
    <w:rPr>
      <w:b/>
      <w:bCs/>
    </w:rPr>
  </w:style>
  <w:style w:type="character" w:styleId="Emphasis">
    <w:name w:val="Emphasis"/>
    <w:basedOn w:val="DefaultParagraphFont"/>
    <w:uiPriority w:val="20"/>
    <w:qFormat/>
    <w:rsid w:val="00562A71"/>
    <w:rPr>
      <w:i/>
      <w:iCs/>
    </w:rPr>
  </w:style>
  <w:style w:type="character" w:styleId="Hyperlink">
    <w:name w:val="Hyperlink"/>
    <w:basedOn w:val="DefaultParagraphFont"/>
    <w:uiPriority w:val="99"/>
    <w:unhideWhenUsed/>
    <w:rsid w:val="00562A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62A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562A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62A7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A71"/>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562A7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62A7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62A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2A71"/>
    <w:rPr>
      <w:b/>
      <w:bCs/>
    </w:rPr>
  </w:style>
  <w:style w:type="character" w:styleId="Emphasis">
    <w:name w:val="Emphasis"/>
    <w:basedOn w:val="DefaultParagraphFont"/>
    <w:uiPriority w:val="20"/>
    <w:qFormat/>
    <w:rsid w:val="00562A71"/>
    <w:rPr>
      <w:i/>
      <w:iCs/>
    </w:rPr>
  </w:style>
  <w:style w:type="character" w:styleId="Hyperlink">
    <w:name w:val="Hyperlink"/>
    <w:basedOn w:val="DefaultParagraphFont"/>
    <w:uiPriority w:val="99"/>
    <w:unhideWhenUsed/>
    <w:rsid w:val="00562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52684">
      <w:bodyDiv w:val="1"/>
      <w:marLeft w:val="0"/>
      <w:marRight w:val="0"/>
      <w:marTop w:val="0"/>
      <w:marBottom w:val="0"/>
      <w:divBdr>
        <w:top w:val="none" w:sz="0" w:space="0" w:color="auto"/>
        <w:left w:val="none" w:sz="0" w:space="0" w:color="auto"/>
        <w:bottom w:val="none" w:sz="0" w:space="0" w:color="auto"/>
        <w:right w:val="none" w:sz="0" w:space="0" w:color="auto"/>
      </w:divBdr>
      <w:divsChild>
        <w:div w:id="855537945">
          <w:marLeft w:val="0"/>
          <w:marRight w:val="0"/>
          <w:marTop w:val="0"/>
          <w:marBottom w:val="0"/>
          <w:divBdr>
            <w:top w:val="none" w:sz="0" w:space="0" w:color="auto"/>
            <w:left w:val="none" w:sz="0" w:space="0" w:color="auto"/>
            <w:bottom w:val="none" w:sz="0" w:space="0" w:color="auto"/>
            <w:right w:val="none" w:sz="0" w:space="0" w:color="auto"/>
          </w:divBdr>
          <w:divsChild>
            <w:div w:id="572545195">
              <w:marLeft w:val="0"/>
              <w:marRight w:val="0"/>
              <w:marTop w:val="0"/>
              <w:marBottom w:val="0"/>
              <w:divBdr>
                <w:top w:val="none" w:sz="0" w:space="0" w:color="auto"/>
                <w:left w:val="none" w:sz="0" w:space="0" w:color="auto"/>
                <w:bottom w:val="none" w:sz="0" w:space="0" w:color="auto"/>
                <w:right w:val="none" w:sz="0" w:space="0" w:color="auto"/>
              </w:divBdr>
            </w:div>
          </w:divsChild>
        </w:div>
        <w:div w:id="1452818101">
          <w:marLeft w:val="0"/>
          <w:marRight w:val="0"/>
          <w:marTop w:val="0"/>
          <w:marBottom w:val="0"/>
          <w:divBdr>
            <w:top w:val="none" w:sz="0" w:space="0" w:color="auto"/>
            <w:left w:val="none" w:sz="0" w:space="0" w:color="auto"/>
            <w:bottom w:val="none" w:sz="0" w:space="0" w:color="auto"/>
            <w:right w:val="none" w:sz="0" w:space="0" w:color="auto"/>
          </w:divBdr>
          <w:divsChild>
            <w:div w:id="1834373768">
              <w:marLeft w:val="0"/>
              <w:marRight w:val="0"/>
              <w:marTop w:val="0"/>
              <w:marBottom w:val="0"/>
              <w:divBdr>
                <w:top w:val="none" w:sz="0" w:space="0" w:color="auto"/>
                <w:left w:val="none" w:sz="0" w:space="0" w:color="auto"/>
                <w:bottom w:val="none" w:sz="0" w:space="0" w:color="auto"/>
                <w:right w:val="none" w:sz="0" w:space="0" w:color="auto"/>
              </w:divBdr>
              <w:divsChild>
                <w:div w:id="11456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828076">
          <w:marLeft w:val="0"/>
          <w:marRight w:val="0"/>
          <w:marTop w:val="0"/>
          <w:marBottom w:val="0"/>
          <w:divBdr>
            <w:top w:val="none" w:sz="0" w:space="0" w:color="auto"/>
            <w:left w:val="none" w:sz="0" w:space="0" w:color="auto"/>
            <w:bottom w:val="none" w:sz="0" w:space="0" w:color="auto"/>
            <w:right w:val="none" w:sz="0" w:space="0" w:color="auto"/>
          </w:divBdr>
          <w:divsChild>
            <w:div w:id="1817721751">
              <w:marLeft w:val="0"/>
              <w:marRight w:val="0"/>
              <w:marTop w:val="0"/>
              <w:marBottom w:val="0"/>
              <w:divBdr>
                <w:top w:val="none" w:sz="0" w:space="0" w:color="auto"/>
                <w:left w:val="none" w:sz="0" w:space="0" w:color="auto"/>
                <w:bottom w:val="none" w:sz="0" w:space="0" w:color="auto"/>
                <w:right w:val="none" w:sz="0" w:space="0" w:color="auto"/>
              </w:divBdr>
              <w:divsChild>
                <w:div w:id="81961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49502">
          <w:marLeft w:val="0"/>
          <w:marRight w:val="0"/>
          <w:marTop w:val="0"/>
          <w:marBottom w:val="0"/>
          <w:divBdr>
            <w:top w:val="none" w:sz="0" w:space="0" w:color="auto"/>
            <w:left w:val="none" w:sz="0" w:space="0" w:color="auto"/>
            <w:bottom w:val="none" w:sz="0" w:space="0" w:color="auto"/>
            <w:right w:val="none" w:sz="0" w:space="0" w:color="auto"/>
          </w:divBdr>
          <w:divsChild>
            <w:div w:id="1548444558">
              <w:marLeft w:val="0"/>
              <w:marRight w:val="0"/>
              <w:marTop w:val="0"/>
              <w:marBottom w:val="0"/>
              <w:divBdr>
                <w:top w:val="none" w:sz="0" w:space="0" w:color="auto"/>
                <w:left w:val="none" w:sz="0" w:space="0" w:color="auto"/>
                <w:bottom w:val="none" w:sz="0" w:space="0" w:color="auto"/>
                <w:right w:val="none" w:sz="0" w:space="0" w:color="auto"/>
              </w:divBdr>
              <w:divsChild>
                <w:div w:id="167263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8016">
          <w:marLeft w:val="0"/>
          <w:marRight w:val="0"/>
          <w:marTop w:val="0"/>
          <w:marBottom w:val="0"/>
          <w:divBdr>
            <w:top w:val="none" w:sz="0" w:space="0" w:color="auto"/>
            <w:left w:val="none" w:sz="0" w:space="0" w:color="auto"/>
            <w:bottom w:val="none" w:sz="0" w:space="0" w:color="auto"/>
            <w:right w:val="none" w:sz="0" w:space="0" w:color="auto"/>
          </w:divBdr>
          <w:divsChild>
            <w:div w:id="1031538973">
              <w:marLeft w:val="0"/>
              <w:marRight w:val="0"/>
              <w:marTop w:val="0"/>
              <w:marBottom w:val="0"/>
              <w:divBdr>
                <w:top w:val="none" w:sz="0" w:space="0" w:color="auto"/>
                <w:left w:val="none" w:sz="0" w:space="0" w:color="auto"/>
                <w:bottom w:val="none" w:sz="0" w:space="0" w:color="auto"/>
                <w:right w:val="none" w:sz="0" w:space="0" w:color="auto"/>
              </w:divBdr>
              <w:divsChild>
                <w:div w:id="308749229">
                  <w:marLeft w:val="0"/>
                  <w:marRight w:val="0"/>
                  <w:marTop w:val="0"/>
                  <w:marBottom w:val="0"/>
                  <w:divBdr>
                    <w:top w:val="none" w:sz="0" w:space="0" w:color="auto"/>
                    <w:left w:val="none" w:sz="0" w:space="0" w:color="auto"/>
                    <w:bottom w:val="none" w:sz="0" w:space="0" w:color="auto"/>
                    <w:right w:val="none" w:sz="0" w:space="0" w:color="auto"/>
                  </w:divBdr>
                  <w:divsChild>
                    <w:div w:id="18359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832802">
          <w:marLeft w:val="0"/>
          <w:marRight w:val="0"/>
          <w:marTop w:val="0"/>
          <w:marBottom w:val="0"/>
          <w:divBdr>
            <w:top w:val="none" w:sz="0" w:space="0" w:color="auto"/>
            <w:left w:val="none" w:sz="0" w:space="0" w:color="auto"/>
            <w:bottom w:val="none" w:sz="0" w:space="0" w:color="auto"/>
            <w:right w:val="none" w:sz="0" w:space="0" w:color="auto"/>
          </w:divBdr>
          <w:divsChild>
            <w:div w:id="2008633447">
              <w:marLeft w:val="0"/>
              <w:marRight w:val="0"/>
              <w:marTop w:val="0"/>
              <w:marBottom w:val="0"/>
              <w:divBdr>
                <w:top w:val="none" w:sz="0" w:space="0" w:color="auto"/>
                <w:left w:val="none" w:sz="0" w:space="0" w:color="auto"/>
                <w:bottom w:val="none" w:sz="0" w:space="0" w:color="auto"/>
                <w:right w:val="none" w:sz="0" w:space="0" w:color="auto"/>
              </w:divBdr>
              <w:divsChild>
                <w:div w:id="20784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411494">
          <w:marLeft w:val="0"/>
          <w:marRight w:val="0"/>
          <w:marTop w:val="0"/>
          <w:marBottom w:val="0"/>
          <w:divBdr>
            <w:top w:val="none" w:sz="0" w:space="0" w:color="auto"/>
            <w:left w:val="none" w:sz="0" w:space="0" w:color="auto"/>
            <w:bottom w:val="none" w:sz="0" w:space="0" w:color="auto"/>
            <w:right w:val="none" w:sz="0" w:space="0" w:color="auto"/>
          </w:divBdr>
        </w:div>
        <w:div w:id="1893080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mf.org/en/Publications/Staff-Discussion-Notes/Issues/2021/05/19/A-Proposal-to-End-the-COVID-19-Pandemic-460263" TargetMode="External"/><Relationship Id="rId13" Type="http://schemas.openxmlformats.org/officeDocument/2006/relationships/hyperlink" Target="https://www.wto.org/english/tratop_e/covid19_e/vaccine_trade_tracker_12_11_2021.html" TargetMode="External"/><Relationship Id="rId18" Type="http://schemas.openxmlformats.org/officeDocument/2006/relationships/hyperlink" Target="https://www.wto.org/english/tratop_e/covid19_e/vaccine_trade_tracker_12_11_2021.html" TargetMode="External"/><Relationship Id="rId3" Type="http://schemas.microsoft.com/office/2007/relationships/stylesWithEffects" Target="stylesWithEffects.xml"/><Relationship Id="rId21" Type="http://schemas.openxmlformats.org/officeDocument/2006/relationships/hyperlink" Target="https://www.wto.org/english/tratop_e/covid19_e/vaccine_trade_tracker_12_11_2021.html" TargetMode="External"/><Relationship Id="rId7" Type="http://schemas.openxmlformats.org/officeDocument/2006/relationships/hyperlink" Target="https://www.wto.org/english/tratop_e/covid19_e/covid_reports_e.htm" TargetMode="External"/><Relationship Id="rId12" Type="http://schemas.openxmlformats.org/officeDocument/2006/relationships/hyperlink" Target="https://www.wto.org/english/tratop_e/covid19_e/vaccine_trade_tracker_12_11_2021.html" TargetMode="External"/><Relationship Id="rId17" Type="http://schemas.openxmlformats.org/officeDocument/2006/relationships/hyperlink" Target="https://www.wto.org/english/tratop_e/covid19_e/vaccine_trade_tracker_12_11_2021.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wto.org/english/tratop_e/covid19_e/vaccine_trade_tracker_12_11_2021.html" TargetMode="External"/><Relationship Id="rId20" Type="http://schemas.openxmlformats.org/officeDocument/2006/relationships/hyperlink" Target="https://www.wto.org/english/tratop_e/covid19_e/vaccine_trade_tracker_12_11_2021.html" TargetMode="External"/><Relationship Id="rId1" Type="http://schemas.openxmlformats.org/officeDocument/2006/relationships/numbering" Target="numbering.xml"/><Relationship Id="rId6" Type="http://schemas.openxmlformats.org/officeDocument/2006/relationships/hyperlink" Target="https://www.wto.org/english/tratop_e/covid19_e/vaccine_trade_tracker_e.htm" TargetMode="External"/><Relationship Id="rId11" Type="http://schemas.openxmlformats.org/officeDocument/2006/relationships/hyperlink" Target="https://www.wto.org/english/tratop_e/covid19_e/vaccine_trade_tracker_12_11_2021.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to.org/english/tratop_e/covid19_e/vaccine_trade_tracker_12_11_2021.html" TargetMode="External"/><Relationship Id="rId23" Type="http://schemas.openxmlformats.org/officeDocument/2006/relationships/hyperlink" Target="mailto:vaccinetradetracker@wto.org" TargetMode="External"/><Relationship Id="rId10" Type="http://schemas.openxmlformats.org/officeDocument/2006/relationships/hyperlink" Target="https://www.wto.org/english/tratop_e/covid19_e/vaccine_trade_tracker_12_11_2021.html" TargetMode="External"/><Relationship Id="rId19" Type="http://schemas.openxmlformats.org/officeDocument/2006/relationships/hyperlink" Target="https://www.wto.org/english/tratop_e/covid19_e/vaccine_trade_tracker_12_11_2021.html" TargetMode="External"/><Relationship Id="rId4" Type="http://schemas.openxmlformats.org/officeDocument/2006/relationships/settings" Target="settings.xml"/><Relationship Id="rId9" Type="http://schemas.openxmlformats.org/officeDocument/2006/relationships/hyperlink" Target="https://www.wto.org/english/tratop_e/covid19_e/vaccine_trade_tracker_12_11_2021.html" TargetMode="External"/><Relationship Id="rId14" Type="http://schemas.openxmlformats.org/officeDocument/2006/relationships/hyperlink" Target="https://www.wto.org/english/tratop_e/covid19_e/vaccine_trade_tracker_12_11_2021.html" TargetMode="External"/><Relationship Id="rId22" Type="http://schemas.openxmlformats.org/officeDocument/2006/relationships/hyperlink" Target="mailto:vaccinetracker@im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2022-11-22T09:25:00Z</dcterms:created>
  <dcterms:modified xsi:type="dcterms:W3CDTF">2022-11-22T09:25:00Z</dcterms:modified>
</cp:coreProperties>
</file>