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1D" w:rsidRPr="001D331D" w:rsidRDefault="001D331D" w:rsidP="001D331D">
      <w:pPr>
        <w:shd w:val="clear" w:color="auto" w:fill="FFFFFF"/>
        <w:spacing w:after="0" w:line="240" w:lineRule="auto"/>
        <w:outlineLvl w:val="0"/>
        <w:rPr>
          <w:rFonts w:ascii="Helvetica Neue" w:eastAsia="Times New Roman" w:hAnsi="Helvetica Neue" w:cs="Times New Roman"/>
          <w:color w:val="004276"/>
          <w:kern w:val="36"/>
          <w:sz w:val="36"/>
          <w:szCs w:val="36"/>
        </w:rPr>
      </w:pPr>
      <w:bookmarkStart w:id="0" w:name="_GoBack"/>
      <w:r w:rsidRPr="001D331D">
        <w:rPr>
          <w:rFonts w:ascii="Helvetica Neue" w:eastAsia="Times New Roman" w:hAnsi="Helvetica Neue" w:cs="Times New Roman"/>
          <w:color w:val="004276"/>
          <w:kern w:val="36"/>
          <w:sz w:val="36"/>
          <w:szCs w:val="36"/>
        </w:rPr>
        <w:t>COVID-19 mortality rate five times higher among labor, retail and service workers, study reveals</w:t>
      </w:r>
    </w:p>
    <w:bookmarkEnd w:id="0"/>
    <w:p w:rsidR="001D331D" w:rsidRPr="001D331D" w:rsidRDefault="001D331D" w:rsidP="001D331D">
      <w:pPr>
        <w:shd w:val="clear" w:color="auto" w:fill="FFFFFF"/>
        <w:spacing w:before="75" w:after="0" w:line="240" w:lineRule="auto"/>
        <w:outlineLvl w:val="1"/>
        <w:rPr>
          <w:rFonts w:ascii="Helvetica Neue" w:eastAsia="Times New Roman" w:hAnsi="Helvetica Neue" w:cs="Times New Roman"/>
          <w:color w:val="333333"/>
          <w:sz w:val="27"/>
          <w:szCs w:val="27"/>
        </w:rPr>
      </w:pPr>
      <w:r w:rsidRPr="001D331D">
        <w:rPr>
          <w:rFonts w:ascii="Helvetica Neue" w:eastAsia="Times New Roman" w:hAnsi="Helvetica Neue" w:cs="Times New Roman"/>
          <w:color w:val="333333"/>
          <w:sz w:val="27"/>
          <w:szCs w:val="27"/>
        </w:rPr>
        <w:t>68% of COVID-19 deaths during the first year of the pandemic were adults in low socioeconomic positions</w:t>
      </w:r>
    </w:p>
    <w:p w:rsidR="001D331D" w:rsidRPr="001D331D" w:rsidRDefault="001D331D" w:rsidP="001D331D">
      <w:pPr>
        <w:shd w:val="clear" w:color="auto" w:fill="FFFFFF"/>
        <w:spacing w:after="0" w:line="240" w:lineRule="auto"/>
        <w:jc w:val="right"/>
        <w:rPr>
          <w:rFonts w:ascii="Helvetica Neue" w:eastAsia="Times New Roman" w:hAnsi="Helvetica Neue" w:cs="Times New Roman"/>
          <w:i/>
          <w:iCs/>
          <w:color w:val="595959"/>
          <w:sz w:val="21"/>
          <w:szCs w:val="21"/>
        </w:rPr>
      </w:pPr>
      <w:r w:rsidRPr="001D331D">
        <w:rPr>
          <w:rFonts w:ascii="Helvetica Neue" w:eastAsia="Times New Roman" w:hAnsi="Helvetica Neue" w:cs="Times New Roman"/>
          <w:i/>
          <w:iCs/>
          <w:color w:val="595959"/>
          <w:sz w:val="21"/>
          <w:szCs w:val="21"/>
        </w:rPr>
        <w:t>Date:</w:t>
      </w:r>
    </w:p>
    <w:p w:rsidR="001D331D" w:rsidRPr="001D331D" w:rsidRDefault="001D331D" w:rsidP="001D331D">
      <w:pPr>
        <w:shd w:val="clear" w:color="auto" w:fill="FFFFFF"/>
        <w:spacing w:after="0" w:line="240" w:lineRule="auto"/>
        <w:ind w:left="720"/>
        <w:rPr>
          <w:rFonts w:ascii="Helvetica Neue" w:eastAsia="Times New Roman" w:hAnsi="Helvetica Neue" w:cs="Times New Roman"/>
          <w:color w:val="333333"/>
          <w:sz w:val="21"/>
          <w:szCs w:val="21"/>
        </w:rPr>
      </w:pPr>
      <w:r w:rsidRPr="001D331D">
        <w:rPr>
          <w:rFonts w:ascii="Helvetica Neue" w:eastAsia="Times New Roman" w:hAnsi="Helvetica Neue" w:cs="Times New Roman"/>
          <w:color w:val="333333"/>
          <w:sz w:val="21"/>
          <w:szCs w:val="21"/>
        </w:rPr>
        <w:t>June 3, 2022</w:t>
      </w:r>
    </w:p>
    <w:p w:rsidR="001D331D" w:rsidRPr="001D331D" w:rsidRDefault="001D331D" w:rsidP="001D331D">
      <w:pPr>
        <w:shd w:val="clear" w:color="auto" w:fill="FFFFFF"/>
        <w:spacing w:after="0" w:line="240" w:lineRule="auto"/>
        <w:ind w:left="1350"/>
        <w:jc w:val="right"/>
        <w:rPr>
          <w:rFonts w:ascii="Helvetica Neue" w:eastAsia="Times New Roman" w:hAnsi="Helvetica Neue" w:cs="Times New Roman"/>
          <w:i/>
          <w:iCs/>
          <w:color w:val="595959"/>
          <w:sz w:val="21"/>
          <w:szCs w:val="21"/>
        </w:rPr>
      </w:pPr>
      <w:r w:rsidRPr="001D331D">
        <w:rPr>
          <w:rFonts w:ascii="Helvetica Neue" w:eastAsia="Times New Roman" w:hAnsi="Helvetica Neue" w:cs="Times New Roman"/>
          <w:i/>
          <w:iCs/>
          <w:color w:val="595959"/>
          <w:sz w:val="21"/>
          <w:szCs w:val="21"/>
        </w:rPr>
        <w:t>Source:</w:t>
      </w:r>
    </w:p>
    <w:p w:rsidR="001D331D" w:rsidRPr="001D331D" w:rsidRDefault="001D331D" w:rsidP="001D331D">
      <w:pPr>
        <w:shd w:val="clear" w:color="auto" w:fill="FFFFFF"/>
        <w:spacing w:after="0" w:line="240" w:lineRule="auto"/>
        <w:ind w:left="720"/>
        <w:rPr>
          <w:rFonts w:ascii="Helvetica Neue" w:eastAsia="Times New Roman" w:hAnsi="Helvetica Neue" w:cs="Times New Roman"/>
          <w:color w:val="333333"/>
          <w:sz w:val="21"/>
          <w:szCs w:val="21"/>
        </w:rPr>
      </w:pPr>
      <w:r w:rsidRPr="001D331D">
        <w:rPr>
          <w:rFonts w:ascii="Helvetica Neue" w:eastAsia="Times New Roman" w:hAnsi="Helvetica Neue" w:cs="Times New Roman"/>
          <w:color w:val="333333"/>
          <w:sz w:val="21"/>
          <w:szCs w:val="21"/>
        </w:rPr>
        <w:t>University of South Florida</w:t>
      </w:r>
    </w:p>
    <w:p w:rsidR="001D331D" w:rsidRPr="001D331D" w:rsidRDefault="001D331D" w:rsidP="001D331D">
      <w:pPr>
        <w:shd w:val="clear" w:color="auto" w:fill="FFFFFF"/>
        <w:spacing w:after="0" w:line="240" w:lineRule="auto"/>
        <w:ind w:left="2700"/>
        <w:jc w:val="right"/>
        <w:rPr>
          <w:rFonts w:ascii="Helvetica Neue" w:eastAsia="Times New Roman" w:hAnsi="Helvetica Neue" w:cs="Times New Roman"/>
          <w:i/>
          <w:iCs/>
          <w:color w:val="595959"/>
          <w:sz w:val="21"/>
          <w:szCs w:val="21"/>
        </w:rPr>
      </w:pPr>
      <w:r w:rsidRPr="001D331D">
        <w:rPr>
          <w:rFonts w:ascii="Helvetica Neue" w:eastAsia="Times New Roman" w:hAnsi="Helvetica Neue" w:cs="Times New Roman"/>
          <w:i/>
          <w:iCs/>
          <w:color w:val="595959"/>
          <w:sz w:val="21"/>
          <w:szCs w:val="21"/>
        </w:rPr>
        <w:t>Summary:</w:t>
      </w:r>
    </w:p>
    <w:p w:rsidR="001D331D" w:rsidRPr="001D331D" w:rsidRDefault="001D331D" w:rsidP="001D331D">
      <w:pPr>
        <w:shd w:val="clear" w:color="auto" w:fill="FFFFFF"/>
        <w:spacing w:after="225" w:line="240" w:lineRule="auto"/>
        <w:ind w:left="720"/>
        <w:rPr>
          <w:rFonts w:ascii="Helvetica Neue" w:eastAsia="Times New Roman" w:hAnsi="Helvetica Neue" w:cs="Times New Roman"/>
          <w:color w:val="333333"/>
          <w:sz w:val="21"/>
          <w:szCs w:val="21"/>
        </w:rPr>
      </w:pPr>
      <w:r w:rsidRPr="001D331D">
        <w:rPr>
          <w:rFonts w:ascii="Helvetica Neue" w:eastAsia="Times New Roman" w:hAnsi="Helvetica Neue" w:cs="Times New Roman"/>
          <w:color w:val="333333"/>
          <w:sz w:val="21"/>
          <w:szCs w:val="21"/>
        </w:rPr>
        <w:t>New research confirms associations between COVID-19 mortality rates and socioeconomic position, gender, ethnicity and race.</w:t>
      </w:r>
    </w:p>
    <w:p w:rsidR="00D31AA7" w:rsidRDefault="001D331D">
      <w:pPr>
        <w:rPr>
          <w:rFonts w:hint="eastAsia"/>
        </w:rPr>
      </w:pPr>
      <w:hyperlink r:id="rId6" w:history="1">
        <w:r w:rsidRPr="00C65D02">
          <w:rPr>
            <w:rStyle w:val="Hyperlink"/>
          </w:rPr>
          <w:t>https://www.sciencedaily.com/releases/2022/06/220603100133.htm</w:t>
        </w:r>
      </w:hyperlink>
    </w:p>
    <w:p w:rsidR="001D331D" w:rsidRDefault="001D331D">
      <w:pPr>
        <w:rPr>
          <w:rFonts w:hint="eastAsia"/>
        </w:rPr>
      </w:pPr>
    </w:p>
    <w:p w:rsidR="001D331D" w:rsidRDefault="001D331D" w:rsidP="001D331D">
      <w:pPr>
        <w:pStyle w:val="lead"/>
        <w:shd w:val="clear" w:color="auto" w:fill="FFFFFF"/>
        <w:spacing w:before="0" w:beforeAutospacing="0" w:after="300" w:afterAutospacing="0"/>
        <w:rPr>
          <w:rFonts w:ascii="Helvetica Neue" w:hAnsi="Helvetica Neue"/>
          <w:color w:val="333333"/>
          <w:sz w:val="27"/>
          <w:szCs w:val="27"/>
        </w:rPr>
      </w:pPr>
      <w:r>
        <w:rPr>
          <w:rFonts w:ascii="Helvetica Neue" w:hAnsi="Helvetica Neue"/>
          <w:color w:val="333333"/>
          <w:sz w:val="27"/>
          <w:szCs w:val="27"/>
        </w:rPr>
        <w:t>A new study reveals that 68 percent of COVID-19 deaths during the first year of the pandemic were adults in low socioeconomic positions (SEP) employed in labor, service and retail jobs that require on-site attendance and prolonged close contact with others.</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 xml:space="preserve">University of South Florida epidemiologist Jason </w:t>
      </w:r>
      <w:proofErr w:type="spellStart"/>
      <w:r>
        <w:rPr>
          <w:rFonts w:ascii="Helvetica Neue" w:hAnsi="Helvetica Neue"/>
          <w:color w:val="333333"/>
          <w:sz w:val="21"/>
          <w:szCs w:val="21"/>
        </w:rPr>
        <w:t>Salemi's</w:t>
      </w:r>
      <w:proofErr w:type="spellEnd"/>
      <w:r>
        <w:rPr>
          <w:rFonts w:ascii="Helvetica Neue" w:hAnsi="Helvetica Neue"/>
          <w:color w:val="333333"/>
          <w:sz w:val="21"/>
          <w:szCs w:val="21"/>
        </w:rPr>
        <w:t xml:space="preserve"> research confirmed associations between COVID-19 mortality rates and socioeconomic position, gender, ethnicity and race.</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 xml:space="preserve">In collaboration with a team of epidemiologists from the COVKID Project, </w:t>
      </w:r>
      <w:proofErr w:type="spellStart"/>
      <w:r>
        <w:rPr>
          <w:rFonts w:ascii="Helvetica Neue" w:hAnsi="Helvetica Neue"/>
          <w:color w:val="333333"/>
          <w:sz w:val="21"/>
          <w:szCs w:val="21"/>
        </w:rPr>
        <w:t>Salemi</w:t>
      </w:r>
      <w:proofErr w:type="spellEnd"/>
      <w:r>
        <w:rPr>
          <w:rFonts w:ascii="Helvetica Neue" w:hAnsi="Helvetica Neue"/>
          <w:color w:val="333333"/>
          <w:sz w:val="21"/>
          <w:szCs w:val="21"/>
        </w:rPr>
        <w:t>, an associate professor in USF's College of Public Health, launched a national investigation into COVID-19 deaths in 2020 with data released by the U.S. National Center for Health Statistics.</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The study, published in the</w:t>
      </w:r>
      <w:r>
        <w:rPr>
          <w:rStyle w:val="Emphasis"/>
          <w:rFonts w:ascii="Helvetica Neue" w:hAnsi="Helvetica Neue"/>
          <w:color w:val="333333"/>
          <w:sz w:val="21"/>
          <w:szCs w:val="21"/>
        </w:rPr>
        <w:t> International Journal of Environmental Research and Public Health</w:t>
      </w:r>
      <w:r>
        <w:rPr>
          <w:rFonts w:ascii="Helvetica Neue" w:hAnsi="Helvetica Neue"/>
          <w:color w:val="333333"/>
          <w:sz w:val="21"/>
          <w:szCs w:val="21"/>
        </w:rPr>
        <w:t xml:space="preserve">, analyzed nearly 70,000 adults, ages 25 to 64, </w:t>
      </w:r>
      <w:proofErr w:type="gramStart"/>
      <w:r>
        <w:rPr>
          <w:rFonts w:ascii="Helvetica Neue" w:hAnsi="Helvetica Neue"/>
          <w:color w:val="333333"/>
          <w:sz w:val="21"/>
          <w:szCs w:val="21"/>
        </w:rPr>
        <w:t>who</w:t>
      </w:r>
      <w:proofErr w:type="gramEnd"/>
      <w:r>
        <w:rPr>
          <w:rFonts w:ascii="Helvetica Neue" w:hAnsi="Helvetica Neue"/>
          <w:color w:val="333333"/>
          <w:sz w:val="21"/>
          <w:szCs w:val="21"/>
        </w:rPr>
        <w:t xml:space="preserve"> died from COVID-19.</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proofErr w:type="spellStart"/>
      <w:r>
        <w:rPr>
          <w:rFonts w:ascii="Helvetica Neue" w:hAnsi="Helvetica Neue"/>
          <w:color w:val="333333"/>
          <w:sz w:val="21"/>
          <w:szCs w:val="21"/>
        </w:rPr>
        <w:t>Salemi's</w:t>
      </w:r>
      <w:proofErr w:type="spellEnd"/>
      <w:r>
        <w:rPr>
          <w:rFonts w:ascii="Helvetica Neue" w:hAnsi="Helvetica Neue"/>
          <w:color w:val="333333"/>
          <w:sz w:val="21"/>
          <w:szCs w:val="21"/>
        </w:rPr>
        <w:t xml:space="preserve"> research shows:</w:t>
      </w:r>
    </w:p>
    <w:p w:rsidR="001D331D" w:rsidRDefault="001D331D" w:rsidP="001D331D">
      <w:pPr>
        <w:numPr>
          <w:ilvl w:val="0"/>
          <w:numId w:val="1"/>
        </w:numPr>
        <w:shd w:val="clear" w:color="auto" w:fill="FFFFFF"/>
        <w:spacing w:before="100" w:beforeAutospacing="1" w:after="100" w:afterAutospacing="1" w:line="240" w:lineRule="auto"/>
        <w:rPr>
          <w:rFonts w:ascii="Helvetica Neue" w:hAnsi="Helvetica Neue"/>
          <w:color w:val="333333"/>
          <w:sz w:val="21"/>
          <w:szCs w:val="21"/>
        </w:rPr>
      </w:pPr>
      <w:r>
        <w:rPr>
          <w:rFonts w:ascii="Helvetica Neue" w:hAnsi="Helvetica Neue"/>
          <w:color w:val="333333"/>
          <w:sz w:val="21"/>
          <w:szCs w:val="21"/>
        </w:rPr>
        <w:t>The mortality rate of low SEP adults is five times higher when compared to high SEP adults, and the mortality rate of intermediate SEP adults is two times higher.</w:t>
      </w:r>
    </w:p>
    <w:p w:rsidR="001D331D" w:rsidRDefault="001D331D" w:rsidP="001D331D">
      <w:pPr>
        <w:numPr>
          <w:ilvl w:val="0"/>
          <w:numId w:val="1"/>
        </w:numPr>
        <w:shd w:val="clear" w:color="auto" w:fill="FFFFFF"/>
        <w:spacing w:before="100" w:beforeAutospacing="1" w:after="100" w:afterAutospacing="1" w:line="240" w:lineRule="auto"/>
        <w:rPr>
          <w:rFonts w:ascii="Helvetica Neue" w:hAnsi="Helvetica Neue"/>
          <w:color w:val="333333"/>
          <w:sz w:val="21"/>
          <w:szCs w:val="21"/>
        </w:rPr>
      </w:pPr>
      <w:r>
        <w:rPr>
          <w:rFonts w:ascii="Helvetica Neue" w:hAnsi="Helvetica Neue"/>
          <w:color w:val="333333"/>
          <w:sz w:val="21"/>
          <w:szCs w:val="21"/>
        </w:rPr>
        <w:t>White women make up the largest population group considered high SEP. In contrast, nearly 60 percent of Hispanic men are in a low SEP.</w:t>
      </w:r>
    </w:p>
    <w:p w:rsidR="001D331D" w:rsidRDefault="001D331D" w:rsidP="001D331D">
      <w:pPr>
        <w:numPr>
          <w:ilvl w:val="0"/>
          <w:numId w:val="1"/>
        </w:numPr>
        <w:shd w:val="clear" w:color="auto" w:fill="FFFFFF"/>
        <w:spacing w:before="100" w:beforeAutospacing="1" w:after="100" w:afterAutospacing="1" w:line="240" w:lineRule="auto"/>
        <w:rPr>
          <w:rFonts w:ascii="Helvetica Neue" w:hAnsi="Helvetica Neue"/>
          <w:color w:val="333333"/>
          <w:sz w:val="21"/>
          <w:szCs w:val="21"/>
        </w:rPr>
      </w:pPr>
      <w:r>
        <w:rPr>
          <w:rFonts w:ascii="Helvetica Neue" w:hAnsi="Helvetica Neue"/>
          <w:color w:val="333333"/>
          <w:sz w:val="21"/>
          <w:szCs w:val="21"/>
        </w:rPr>
        <w:t>When compared, the mortality rate of low SEP Hispanic men is 27 times higher than high SEP white women.</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 xml:space="preserve">"The degree to which it takes a toll on communities is very unevenly distributed and we wanted to call attention to that issue," </w:t>
      </w:r>
      <w:proofErr w:type="spellStart"/>
      <w:r>
        <w:rPr>
          <w:rFonts w:ascii="Helvetica Neue" w:hAnsi="Helvetica Neue"/>
          <w:color w:val="333333"/>
          <w:sz w:val="21"/>
          <w:szCs w:val="21"/>
        </w:rPr>
        <w:t>Salemi</w:t>
      </w:r>
      <w:proofErr w:type="spellEnd"/>
      <w:r>
        <w:rPr>
          <w:rFonts w:ascii="Helvetica Neue" w:hAnsi="Helvetica Neue"/>
          <w:color w:val="333333"/>
          <w:sz w:val="21"/>
          <w:szCs w:val="21"/>
        </w:rPr>
        <w:t xml:space="preserve"> said.</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The National Center for Health Statistics uses one's level of education as a measure of socioeconomic status because it is considered a more stable indicator of SEP over time. In tandem, the team categorized each person's SEP by their level of education -- low SEP adults had no education beyond high school, intermediate SEP had at least one year of college attendance and high SEP adults had at minimum a bachelor's degree.</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The findings reveal a person's level of education is strongly associated with occupation segregation -- with the majority of low SEP adults employed in working-class jobs across all gender, race and ethnicity groups in the United States.</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proofErr w:type="spellStart"/>
      <w:r>
        <w:rPr>
          <w:rFonts w:ascii="Helvetica Neue" w:hAnsi="Helvetica Neue"/>
          <w:color w:val="333333"/>
          <w:sz w:val="21"/>
          <w:szCs w:val="21"/>
        </w:rPr>
        <w:lastRenderedPageBreak/>
        <w:t>Salemi</w:t>
      </w:r>
      <w:proofErr w:type="spellEnd"/>
      <w:r>
        <w:rPr>
          <w:rFonts w:ascii="Helvetica Neue" w:hAnsi="Helvetica Neue"/>
          <w:color w:val="333333"/>
          <w:sz w:val="21"/>
          <w:szCs w:val="21"/>
        </w:rPr>
        <w:t xml:space="preserve"> and the team confirmed that hazardous conditions of work, such as working in close proximity with others, were primary drivers of disparities in COVID-19 mortality rates.</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Elevated infection risks are amplified across multiple social environmental scales for working-class adults, especially when compared to high SEP workers who are more likely to have fewer exposure risks, options to work remotely, paid sick leave and better access to quality health care.</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 xml:space="preserve">"If we were to immediately heed the calls to return to 'normal' and stop worrying about community spread of the virus, there are certain subsets and members of our community who are going to suffer way more so than other members -- and these people have already borne the disproportionate brunt of this pandemic," </w:t>
      </w:r>
      <w:proofErr w:type="spellStart"/>
      <w:r>
        <w:rPr>
          <w:rFonts w:ascii="Helvetica Neue" w:hAnsi="Helvetica Neue"/>
          <w:color w:val="333333"/>
          <w:sz w:val="21"/>
          <w:szCs w:val="21"/>
        </w:rPr>
        <w:t>Salemi</w:t>
      </w:r>
      <w:proofErr w:type="spellEnd"/>
      <w:r>
        <w:rPr>
          <w:rFonts w:ascii="Helvetica Neue" w:hAnsi="Helvetica Neue"/>
          <w:color w:val="333333"/>
          <w:sz w:val="21"/>
          <w:szCs w:val="21"/>
        </w:rPr>
        <w:t xml:space="preserve"> said.</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Fonts w:ascii="Helvetica Neue" w:hAnsi="Helvetica Neue"/>
          <w:color w:val="333333"/>
          <w:sz w:val="21"/>
          <w:szCs w:val="21"/>
        </w:rPr>
        <w:t xml:space="preserve">As a result, </w:t>
      </w:r>
      <w:proofErr w:type="spellStart"/>
      <w:r>
        <w:rPr>
          <w:rFonts w:ascii="Helvetica Neue" w:hAnsi="Helvetica Neue"/>
          <w:color w:val="333333"/>
          <w:sz w:val="21"/>
          <w:szCs w:val="21"/>
        </w:rPr>
        <w:t>Salemi</w:t>
      </w:r>
      <w:proofErr w:type="spellEnd"/>
      <w:r>
        <w:rPr>
          <w:rFonts w:ascii="Helvetica Neue" w:hAnsi="Helvetica Neue"/>
          <w:color w:val="333333"/>
          <w:sz w:val="21"/>
          <w:szCs w:val="21"/>
        </w:rPr>
        <w:t xml:space="preserve"> says the most urgent implication of this study points to possible actions that could be considered to protect the working class from infection, such as strengthening labor laws, empowering the U.S. Occupational Safety and Health Administration, adopting safety and health hazard policies and allowing unions to organize for greater protections for worker safety.</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proofErr w:type="spellStart"/>
      <w:r>
        <w:rPr>
          <w:rFonts w:ascii="Helvetica Neue" w:hAnsi="Helvetica Neue"/>
          <w:color w:val="333333"/>
          <w:sz w:val="21"/>
          <w:szCs w:val="21"/>
        </w:rPr>
        <w:t>Salemi</w:t>
      </w:r>
      <w:proofErr w:type="spellEnd"/>
      <w:r>
        <w:rPr>
          <w:rFonts w:ascii="Helvetica Neue" w:hAnsi="Helvetica Neue"/>
          <w:color w:val="333333"/>
          <w:sz w:val="21"/>
          <w:szCs w:val="21"/>
        </w:rPr>
        <w:t xml:space="preserve"> hopes to expand on this study with mortality data from 2021 and beyond.</w:t>
      </w:r>
    </w:p>
    <w:p w:rsidR="001D331D" w:rsidRDefault="001D331D" w:rsidP="001D331D">
      <w:pPr>
        <w:spacing w:before="300" w:after="300"/>
        <w:rPr>
          <w:rFonts w:ascii="Times New Roman" w:hAnsi="Times New Roman"/>
          <w:sz w:val="24"/>
          <w:szCs w:val="24"/>
        </w:rPr>
      </w:pPr>
      <w:r>
        <w:pict>
          <v:rect id="_x0000_i1025" style="width:0;height:0" o:hralign="center" o:hrstd="t" o:hrnoshade="t" o:hr="t" fillcolor="#333" stroked="f"/>
        </w:pic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Style w:val="Strong"/>
          <w:rFonts w:ascii="Helvetica Neue" w:hAnsi="Helvetica Neue"/>
          <w:color w:val="333333"/>
          <w:sz w:val="21"/>
          <w:szCs w:val="21"/>
        </w:rPr>
        <w:t>Story Source:</w: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hyperlink r:id="rId7" w:tgtFrame="_blank" w:history="1">
        <w:r>
          <w:rPr>
            <w:rStyle w:val="Hyperlink"/>
            <w:rFonts w:ascii="Helvetica Neue" w:hAnsi="Helvetica Neue"/>
            <w:color w:val="004276"/>
            <w:sz w:val="21"/>
            <w:szCs w:val="21"/>
          </w:rPr>
          <w:t>Materials</w:t>
        </w:r>
      </w:hyperlink>
      <w:r>
        <w:rPr>
          <w:rFonts w:ascii="Helvetica Neue" w:hAnsi="Helvetica Neue"/>
          <w:color w:val="333333"/>
          <w:sz w:val="21"/>
          <w:szCs w:val="21"/>
        </w:rPr>
        <w:t> provided by </w:t>
      </w:r>
      <w:hyperlink r:id="rId8" w:tgtFrame="_blank" w:history="1">
        <w:r>
          <w:rPr>
            <w:rStyle w:val="Strong"/>
            <w:rFonts w:ascii="Helvetica Neue" w:hAnsi="Helvetica Neue"/>
            <w:color w:val="004276"/>
            <w:sz w:val="21"/>
            <w:szCs w:val="21"/>
          </w:rPr>
          <w:t>University of South Florida</w:t>
        </w:r>
      </w:hyperlink>
      <w:r>
        <w:rPr>
          <w:rFonts w:ascii="Helvetica Neue" w:hAnsi="Helvetica Neue"/>
          <w:color w:val="333333"/>
          <w:sz w:val="21"/>
          <w:szCs w:val="21"/>
        </w:rPr>
        <w:t>. </w:t>
      </w:r>
      <w:r>
        <w:rPr>
          <w:rStyle w:val="Emphasis"/>
          <w:rFonts w:ascii="Helvetica Neue" w:hAnsi="Helvetica Neue"/>
          <w:color w:val="333333"/>
          <w:sz w:val="21"/>
          <w:szCs w:val="21"/>
        </w:rPr>
        <w:t>Note: Content may be edited for style and length.</w:t>
      </w:r>
    </w:p>
    <w:p w:rsidR="001D331D" w:rsidRDefault="001D331D" w:rsidP="001D331D">
      <w:pPr>
        <w:spacing w:before="300" w:after="300"/>
        <w:rPr>
          <w:rFonts w:ascii="Times New Roman" w:hAnsi="Times New Roman"/>
          <w:sz w:val="24"/>
          <w:szCs w:val="24"/>
        </w:rPr>
      </w:pPr>
      <w:r>
        <w:pict>
          <v:rect id="_x0000_i1026" style="width:0;height:0" o:hralign="center" o:hrstd="t" o:hrnoshade="t" o:hr="t" fillcolor="#333" stroked="f"/>
        </w:pict>
      </w:r>
    </w:p>
    <w:p w:rsidR="001D331D" w:rsidRDefault="001D331D" w:rsidP="001D331D">
      <w:pPr>
        <w:pStyle w:val="NormalWeb"/>
        <w:shd w:val="clear" w:color="auto" w:fill="FFFFFF"/>
        <w:spacing w:before="0" w:beforeAutospacing="0" w:after="150" w:afterAutospacing="0"/>
        <w:rPr>
          <w:rFonts w:ascii="Helvetica Neue" w:hAnsi="Helvetica Neue"/>
          <w:color w:val="333333"/>
          <w:sz w:val="21"/>
          <w:szCs w:val="21"/>
        </w:rPr>
      </w:pPr>
      <w:r>
        <w:rPr>
          <w:rStyle w:val="Strong"/>
          <w:rFonts w:ascii="Helvetica Neue" w:hAnsi="Helvetica Neue"/>
          <w:color w:val="333333"/>
          <w:sz w:val="21"/>
          <w:szCs w:val="21"/>
        </w:rPr>
        <w:t>Journal Reference</w:t>
      </w:r>
      <w:r>
        <w:rPr>
          <w:rFonts w:ascii="Helvetica Neue" w:hAnsi="Helvetica Neue"/>
          <w:color w:val="333333"/>
          <w:sz w:val="21"/>
          <w:szCs w:val="21"/>
        </w:rPr>
        <w:t>:</w:t>
      </w:r>
    </w:p>
    <w:p w:rsidR="001D331D" w:rsidRDefault="001D331D" w:rsidP="001D331D">
      <w:pPr>
        <w:numPr>
          <w:ilvl w:val="0"/>
          <w:numId w:val="2"/>
        </w:numPr>
        <w:shd w:val="clear" w:color="auto" w:fill="FFFFFF"/>
        <w:spacing w:after="0" w:line="240" w:lineRule="auto"/>
        <w:ind w:left="0"/>
        <w:rPr>
          <w:rFonts w:ascii="Helvetica Neue" w:hAnsi="Helvetica Neue"/>
          <w:color w:val="333333"/>
          <w:sz w:val="21"/>
          <w:szCs w:val="21"/>
        </w:rPr>
      </w:pPr>
      <w:r>
        <w:rPr>
          <w:rFonts w:ascii="Helvetica Neue" w:hAnsi="Helvetica Neue"/>
          <w:color w:val="333333"/>
          <w:sz w:val="21"/>
          <w:szCs w:val="21"/>
        </w:rPr>
        <w:t xml:space="preserve">Elizabeth B. </w:t>
      </w:r>
      <w:proofErr w:type="spellStart"/>
      <w:r>
        <w:rPr>
          <w:rFonts w:ascii="Helvetica Neue" w:hAnsi="Helvetica Neue"/>
          <w:color w:val="333333"/>
          <w:sz w:val="21"/>
          <w:szCs w:val="21"/>
        </w:rPr>
        <w:t>Pathak</w:t>
      </w:r>
      <w:proofErr w:type="spellEnd"/>
      <w:r>
        <w:rPr>
          <w:rFonts w:ascii="Helvetica Neue" w:hAnsi="Helvetica Neue"/>
          <w:color w:val="333333"/>
          <w:sz w:val="21"/>
          <w:szCs w:val="21"/>
        </w:rPr>
        <w:t xml:space="preserve">, Janelle M. Menard, Rebecca B. Garcia, Jason L. </w:t>
      </w:r>
      <w:proofErr w:type="spellStart"/>
      <w:r>
        <w:rPr>
          <w:rFonts w:ascii="Helvetica Neue" w:hAnsi="Helvetica Neue"/>
          <w:color w:val="333333"/>
          <w:sz w:val="21"/>
          <w:szCs w:val="21"/>
        </w:rPr>
        <w:t>Salemi</w:t>
      </w:r>
      <w:proofErr w:type="spellEnd"/>
      <w:r>
        <w:rPr>
          <w:rFonts w:ascii="Helvetica Neue" w:hAnsi="Helvetica Neue"/>
          <w:color w:val="333333"/>
          <w:sz w:val="21"/>
          <w:szCs w:val="21"/>
        </w:rPr>
        <w:t>. </w:t>
      </w:r>
      <w:r>
        <w:rPr>
          <w:rStyle w:val="Strong"/>
          <w:rFonts w:ascii="Helvetica Neue" w:hAnsi="Helvetica Neue"/>
          <w:color w:val="333333"/>
          <w:sz w:val="21"/>
          <w:szCs w:val="21"/>
        </w:rPr>
        <w:t>Joint Effects of Socioeconomic Position, Race/Ethnicity, and Gender on COVID-19 Mortality among Working-Age Adults in the United States</w:t>
      </w:r>
      <w:r>
        <w:rPr>
          <w:rFonts w:ascii="Helvetica Neue" w:hAnsi="Helvetica Neue"/>
          <w:color w:val="333333"/>
          <w:sz w:val="21"/>
          <w:szCs w:val="21"/>
        </w:rPr>
        <w:t>. </w:t>
      </w:r>
      <w:r>
        <w:rPr>
          <w:rStyle w:val="Emphasis"/>
          <w:rFonts w:ascii="Helvetica Neue" w:hAnsi="Helvetica Neue"/>
          <w:color w:val="333333"/>
          <w:sz w:val="21"/>
          <w:szCs w:val="21"/>
        </w:rPr>
        <w:t>International Journal of Environmental Research and Public Health</w:t>
      </w:r>
      <w:r>
        <w:rPr>
          <w:rFonts w:ascii="Helvetica Neue" w:hAnsi="Helvetica Neue"/>
          <w:color w:val="333333"/>
          <w:sz w:val="21"/>
          <w:szCs w:val="21"/>
        </w:rPr>
        <w:t>, 2022; 19 (9): 5479 DOI: </w:t>
      </w:r>
      <w:hyperlink r:id="rId9" w:tgtFrame="_blank" w:history="1">
        <w:r>
          <w:rPr>
            <w:rStyle w:val="Hyperlink"/>
            <w:rFonts w:ascii="Helvetica Neue" w:hAnsi="Helvetica Neue"/>
            <w:color w:val="004276"/>
            <w:sz w:val="21"/>
            <w:szCs w:val="21"/>
          </w:rPr>
          <w:t>10.3390/ijerph19095479</w:t>
        </w:r>
      </w:hyperlink>
    </w:p>
    <w:p w:rsidR="001D331D" w:rsidRDefault="001D331D"/>
    <w:sectPr w:rsidR="001D33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078DB"/>
    <w:multiLevelType w:val="multilevel"/>
    <w:tmpl w:val="6F3E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000D8E"/>
    <w:multiLevelType w:val="multilevel"/>
    <w:tmpl w:val="488EE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31D"/>
    <w:rsid w:val="001D331D"/>
    <w:rsid w:val="00D31AA7"/>
    <w:rsid w:val="00DA7CDF"/>
    <w:rsid w:val="00FD0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33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33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3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331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1D331D"/>
    <w:rPr>
      <w:color w:val="0000FF" w:themeColor="hyperlink"/>
      <w:u w:val="single"/>
    </w:rPr>
  </w:style>
  <w:style w:type="paragraph" w:customStyle="1" w:styleId="lead">
    <w:name w:val="lead"/>
    <w:basedOn w:val="Normal"/>
    <w:rsid w:val="001D331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D331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D331D"/>
    <w:rPr>
      <w:i/>
      <w:iCs/>
    </w:rPr>
  </w:style>
  <w:style w:type="character" w:styleId="Strong">
    <w:name w:val="Strong"/>
    <w:basedOn w:val="DefaultParagraphFont"/>
    <w:uiPriority w:val="22"/>
    <w:qFormat/>
    <w:rsid w:val="001D33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33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33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3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331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1D331D"/>
    <w:rPr>
      <w:color w:val="0000FF" w:themeColor="hyperlink"/>
      <w:u w:val="single"/>
    </w:rPr>
  </w:style>
  <w:style w:type="paragraph" w:customStyle="1" w:styleId="lead">
    <w:name w:val="lead"/>
    <w:basedOn w:val="Normal"/>
    <w:rsid w:val="001D331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D331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D331D"/>
    <w:rPr>
      <w:i/>
      <w:iCs/>
    </w:rPr>
  </w:style>
  <w:style w:type="character" w:styleId="Strong">
    <w:name w:val="Strong"/>
    <w:basedOn w:val="DefaultParagraphFont"/>
    <w:uiPriority w:val="22"/>
    <w:qFormat/>
    <w:rsid w:val="001D3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1031">
      <w:bodyDiv w:val="1"/>
      <w:marLeft w:val="0"/>
      <w:marRight w:val="0"/>
      <w:marTop w:val="0"/>
      <w:marBottom w:val="0"/>
      <w:divBdr>
        <w:top w:val="none" w:sz="0" w:space="0" w:color="auto"/>
        <w:left w:val="none" w:sz="0" w:space="0" w:color="auto"/>
        <w:bottom w:val="none" w:sz="0" w:space="0" w:color="auto"/>
        <w:right w:val="none" w:sz="0" w:space="0" w:color="auto"/>
      </w:divBdr>
    </w:div>
    <w:div w:id="1030954505">
      <w:bodyDiv w:val="1"/>
      <w:marLeft w:val="0"/>
      <w:marRight w:val="0"/>
      <w:marTop w:val="0"/>
      <w:marBottom w:val="0"/>
      <w:divBdr>
        <w:top w:val="none" w:sz="0" w:space="0" w:color="auto"/>
        <w:left w:val="none" w:sz="0" w:space="0" w:color="auto"/>
        <w:bottom w:val="none" w:sz="0" w:space="0" w:color="auto"/>
        <w:right w:val="none" w:sz="0" w:space="0" w:color="auto"/>
      </w:divBdr>
      <w:divsChild>
        <w:div w:id="753824595">
          <w:marLeft w:val="0"/>
          <w:marRight w:val="0"/>
          <w:marTop w:val="0"/>
          <w:marBottom w:val="0"/>
          <w:divBdr>
            <w:top w:val="none" w:sz="0" w:space="0" w:color="auto"/>
            <w:left w:val="none" w:sz="0" w:space="0" w:color="auto"/>
            <w:bottom w:val="none" w:sz="0" w:space="0" w:color="auto"/>
            <w:right w:val="none" w:sz="0" w:space="0" w:color="auto"/>
          </w:divBdr>
        </w:div>
        <w:div w:id="1541698299">
          <w:marLeft w:val="0"/>
          <w:marRight w:val="0"/>
          <w:marTop w:val="0"/>
          <w:marBottom w:val="0"/>
          <w:divBdr>
            <w:top w:val="none" w:sz="0" w:space="0" w:color="auto"/>
            <w:left w:val="none" w:sz="0" w:space="0" w:color="auto"/>
            <w:bottom w:val="none" w:sz="0" w:space="0" w:color="auto"/>
            <w:right w:val="none" w:sz="0" w:space="0" w:color="auto"/>
          </w:divBdr>
        </w:div>
        <w:div w:id="1704212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sf.edu/" TargetMode="External"/><Relationship Id="rId3" Type="http://schemas.microsoft.com/office/2007/relationships/stylesWithEffects" Target="stylesWithEffects.xml"/><Relationship Id="rId7" Type="http://schemas.openxmlformats.org/officeDocument/2006/relationships/hyperlink" Target="https://www.usf.edu/news/2022/covid-19-mortality-rate-five-times-higher-among-labor-retail-and-service-workers-study-reveal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iencedaily.com/releases/2022/06/220603100133.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3390/ijerph190954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2022-11-25T16:39:00Z</dcterms:created>
  <dcterms:modified xsi:type="dcterms:W3CDTF">2022-11-25T16:39:00Z</dcterms:modified>
</cp:coreProperties>
</file>