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DE9" w:rsidRPr="00C22DE9" w:rsidRDefault="00C22DE9" w:rsidP="00C22DE9">
      <w:pPr>
        <w:shd w:val="clear" w:color="auto" w:fill="FFFFFF"/>
        <w:spacing w:after="240" w:line="240" w:lineRule="auto"/>
        <w:outlineLvl w:val="0"/>
        <w:rPr>
          <w:rFonts w:ascii="Segoe UI" w:eastAsia="Times New Roman" w:hAnsi="Segoe UI" w:cs="Segoe UI"/>
          <w:b/>
          <w:bCs/>
          <w:color w:val="222222"/>
          <w:kern w:val="36"/>
          <w:sz w:val="48"/>
          <w:szCs w:val="48"/>
        </w:rPr>
      </w:pPr>
      <w:r w:rsidRPr="00C22DE9">
        <w:rPr>
          <w:rFonts w:ascii="Segoe UI" w:eastAsia="Times New Roman" w:hAnsi="Segoe UI" w:cs="Segoe UI"/>
          <w:b/>
          <w:bCs/>
          <w:color w:val="222222"/>
          <w:kern w:val="36"/>
          <w:sz w:val="48"/>
          <w:szCs w:val="48"/>
        </w:rPr>
        <w:t>The radically unequal distribution of Covid-19 vaccinations:</w:t>
      </w:r>
      <w:bookmarkStart w:id="0" w:name="_GoBack"/>
      <w:bookmarkEnd w:id="0"/>
      <w:r w:rsidRPr="00C22DE9">
        <w:rPr>
          <w:rFonts w:ascii="Segoe UI" w:eastAsia="Times New Roman" w:hAnsi="Segoe UI" w:cs="Segoe UI"/>
          <w:b/>
          <w:bCs/>
          <w:color w:val="222222"/>
          <w:kern w:val="36"/>
          <w:sz w:val="48"/>
          <w:szCs w:val="48"/>
        </w:rPr>
        <w:t xml:space="preserve"> a predictable yet avoidable symptom of the fundamental causes of inequality</w:t>
      </w:r>
    </w:p>
    <w:p w:rsidR="00C22DE9" w:rsidRPr="00C22DE9" w:rsidRDefault="00C22DE9" w:rsidP="00C22DE9">
      <w:pPr>
        <w:numPr>
          <w:ilvl w:val="0"/>
          <w:numId w:val="1"/>
        </w:numPr>
        <w:shd w:val="clear" w:color="auto" w:fill="FFFFFF"/>
        <w:spacing w:before="100" w:beforeAutospacing="1" w:after="100" w:afterAutospacing="1" w:line="240" w:lineRule="auto"/>
        <w:ind w:left="0" w:right="120"/>
        <w:rPr>
          <w:rFonts w:ascii="Segoe UI" w:eastAsia="Times New Roman" w:hAnsi="Segoe UI" w:cs="Segoe UI"/>
          <w:color w:val="222222"/>
          <w:sz w:val="24"/>
          <w:szCs w:val="24"/>
        </w:rPr>
      </w:pPr>
      <w:hyperlink r:id="rId6" w:anchor="auth-H_vard_Thorsen-Rydland" w:history="1">
        <w:proofErr w:type="spellStart"/>
        <w:r w:rsidRPr="00C22DE9">
          <w:rPr>
            <w:rFonts w:ascii="Segoe UI" w:eastAsia="Times New Roman" w:hAnsi="Segoe UI" w:cs="Segoe UI"/>
            <w:color w:val="006699"/>
            <w:sz w:val="24"/>
            <w:szCs w:val="24"/>
            <w:u w:val="single"/>
          </w:rPr>
          <w:t>Håvard</w:t>
        </w:r>
        <w:proofErr w:type="spellEnd"/>
        <w:r w:rsidRPr="00C22DE9">
          <w:rPr>
            <w:rFonts w:ascii="Segoe UI" w:eastAsia="Times New Roman" w:hAnsi="Segoe UI" w:cs="Segoe UI"/>
            <w:color w:val="006699"/>
            <w:sz w:val="24"/>
            <w:szCs w:val="24"/>
            <w:u w:val="single"/>
          </w:rPr>
          <w:t xml:space="preserve"> </w:t>
        </w:r>
        <w:proofErr w:type="spellStart"/>
        <w:r w:rsidRPr="00C22DE9">
          <w:rPr>
            <w:rFonts w:ascii="Segoe UI" w:eastAsia="Times New Roman" w:hAnsi="Segoe UI" w:cs="Segoe UI"/>
            <w:color w:val="006699"/>
            <w:sz w:val="24"/>
            <w:szCs w:val="24"/>
            <w:u w:val="single"/>
          </w:rPr>
          <w:t>Thorsen</w:t>
        </w:r>
        <w:proofErr w:type="spellEnd"/>
        <w:r w:rsidRPr="00C22DE9">
          <w:rPr>
            <w:rFonts w:ascii="Segoe UI" w:eastAsia="Times New Roman" w:hAnsi="Segoe UI" w:cs="Segoe UI"/>
            <w:color w:val="006699"/>
            <w:sz w:val="24"/>
            <w:szCs w:val="24"/>
            <w:u w:val="single"/>
          </w:rPr>
          <w:t xml:space="preserve"> </w:t>
        </w:r>
        <w:proofErr w:type="spellStart"/>
        <w:r w:rsidRPr="00C22DE9">
          <w:rPr>
            <w:rFonts w:ascii="Segoe UI" w:eastAsia="Times New Roman" w:hAnsi="Segoe UI" w:cs="Segoe UI"/>
            <w:color w:val="006699"/>
            <w:sz w:val="24"/>
            <w:szCs w:val="24"/>
            <w:u w:val="single"/>
          </w:rPr>
          <w:t>Rydland</w:t>
        </w:r>
        <w:proofErr w:type="spellEnd"/>
      </w:hyperlink>
      <w:r w:rsidRPr="00C22DE9">
        <w:rPr>
          <w:rFonts w:ascii="Segoe UI" w:eastAsia="Times New Roman" w:hAnsi="Segoe UI" w:cs="Segoe UI"/>
          <w:color w:val="222222"/>
          <w:sz w:val="24"/>
          <w:szCs w:val="24"/>
        </w:rPr>
        <w:t>, </w:t>
      </w:r>
    </w:p>
    <w:p w:rsidR="00C22DE9" w:rsidRPr="00C22DE9" w:rsidRDefault="00C22DE9" w:rsidP="00C22DE9">
      <w:pPr>
        <w:numPr>
          <w:ilvl w:val="0"/>
          <w:numId w:val="1"/>
        </w:numPr>
        <w:shd w:val="clear" w:color="auto" w:fill="FFFFFF"/>
        <w:spacing w:before="100" w:beforeAutospacing="1" w:after="100" w:afterAutospacing="1" w:line="240" w:lineRule="auto"/>
        <w:ind w:left="0" w:right="120"/>
        <w:rPr>
          <w:rFonts w:ascii="Segoe UI" w:eastAsia="Times New Roman" w:hAnsi="Segoe UI" w:cs="Segoe UI"/>
          <w:color w:val="222222"/>
          <w:sz w:val="24"/>
          <w:szCs w:val="24"/>
        </w:rPr>
      </w:pPr>
      <w:hyperlink r:id="rId7" w:anchor="auth-Joseph-Friedman" w:history="1">
        <w:r w:rsidRPr="00C22DE9">
          <w:rPr>
            <w:rFonts w:ascii="Segoe UI" w:eastAsia="Times New Roman" w:hAnsi="Segoe UI" w:cs="Segoe UI"/>
            <w:color w:val="006699"/>
            <w:sz w:val="24"/>
            <w:szCs w:val="24"/>
            <w:u w:val="single"/>
          </w:rPr>
          <w:t>Joseph Friedman</w:t>
        </w:r>
      </w:hyperlink>
      <w:r w:rsidRPr="00C22DE9">
        <w:rPr>
          <w:rFonts w:ascii="Segoe UI" w:eastAsia="Times New Roman" w:hAnsi="Segoe UI" w:cs="Segoe UI"/>
          <w:color w:val="222222"/>
          <w:sz w:val="24"/>
          <w:szCs w:val="24"/>
        </w:rPr>
        <w:t>, </w:t>
      </w:r>
    </w:p>
    <w:p w:rsidR="00C22DE9" w:rsidRPr="00C22DE9" w:rsidRDefault="00C22DE9" w:rsidP="00C22DE9">
      <w:pPr>
        <w:numPr>
          <w:ilvl w:val="0"/>
          <w:numId w:val="1"/>
        </w:numPr>
        <w:shd w:val="clear" w:color="auto" w:fill="FFFFFF"/>
        <w:spacing w:before="100" w:beforeAutospacing="1" w:after="100" w:afterAutospacing="1" w:line="240" w:lineRule="auto"/>
        <w:ind w:left="0" w:right="120"/>
        <w:rPr>
          <w:rFonts w:ascii="Segoe UI" w:eastAsia="Times New Roman" w:hAnsi="Segoe UI" w:cs="Segoe UI"/>
          <w:color w:val="222222"/>
          <w:sz w:val="24"/>
          <w:szCs w:val="24"/>
        </w:rPr>
      </w:pPr>
      <w:hyperlink r:id="rId8" w:anchor="auth-Silvia-Stringhini" w:history="1">
        <w:r w:rsidRPr="00C22DE9">
          <w:rPr>
            <w:rFonts w:ascii="Segoe UI" w:eastAsia="Times New Roman" w:hAnsi="Segoe UI" w:cs="Segoe UI"/>
            <w:color w:val="006699"/>
            <w:sz w:val="24"/>
            <w:szCs w:val="24"/>
            <w:u w:val="single"/>
          </w:rPr>
          <w:t xml:space="preserve">Silvia </w:t>
        </w:r>
        <w:proofErr w:type="spellStart"/>
        <w:r w:rsidRPr="00C22DE9">
          <w:rPr>
            <w:rFonts w:ascii="Segoe UI" w:eastAsia="Times New Roman" w:hAnsi="Segoe UI" w:cs="Segoe UI"/>
            <w:color w:val="006699"/>
            <w:sz w:val="24"/>
            <w:szCs w:val="24"/>
            <w:u w:val="single"/>
          </w:rPr>
          <w:t>Stringhini</w:t>
        </w:r>
        <w:proofErr w:type="spellEnd"/>
      </w:hyperlink>
      <w:r w:rsidRPr="00C22DE9">
        <w:rPr>
          <w:rFonts w:ascii="Segoe UI" w:eastAsia="Times New Roman" w:hAnsi="Segoe UI" w:cs="Segoe UI"/>
          <w:color w:val="222222"/>
          <w:sz w:val="24"/>
          <w:szCs w:val="24"/>
        </w:rPr>
        <w:t>, </w:t>
      </w:r>
    </w:p>
    <w:p w:rsidR="00C22DE9" w:rsidRPr="00C22DE9" w:rsidRDefault="00C22DE9" w:rsidP="00C22DE9">
      <w:pPr>
        <w:numPr>
          <w:ilvl w:val="0"/>
          <w:numId w:val="1"/>
        </w:numPr>
        <w:shd w:val="clear" w:color="auto" w:fill="FFFFFF"/>
        <w:spacing w:before="100" w:beforeAutospacing="1" w:after="100" w:afterAutospacing="1" w:line="240" w:lineRule="auto"/>
        <w:ind w:left="0" w:right="120"/>
        <w:rPr>
          <w:rFonts w:ascii="Segoe UI" w:eastAsia="Times New Roman" w:hAnsi="Segoe UI" w:cs="Segoe UI"/>
          <w:color w:val="222222"/>
          <w:sz w:val="24"/>
          <w:szCs w:val="24"/>
        </w:rPr>
      </w:pPr>
      <w:hyperlink r:id="rId9" w:anchor="auth-Bruce_G_-Link" w:history="1">
        <w:r w:rsidRPr="00C22DE9">
          <w:rPr>
            <w:rFonts w:ascii="Segoe UI" w:eastAsia="Times New Roman" w:hAnsi="Segoe UI" w:cs="Segoe UI"/>
            <w:color w:val="006699"/>
            <w:sz w:val="24"/>
            <w:szCs w:val="24"/>
            <w:u w:val="single"/>
          </w:rPr>
          <w:t>Bruce G. Link</w:t>
        </w:r>
      </w:hyperlink>
      <w:r w:rsidRPr="00C22DE9">
        <w:rPr>
          <w:rFonts w:ascii="Segoe UI" w:eastAsia="Times New Roman" w:hAnsi="Segoe UI" w:cs="Segoe UI"/>
          <w:color w:val="222222"/>
          <w:sz w:val="24"/>
          <w:szCs w:val="24"/>
        </w:rPr>
        <w:t> &amp; </w:t>
      </w:r>
    </w:p>
    <w:p w:rsidR="00C22DE9" w:rsidRPr="00C22DE9" w:rsidRDefault="00C22DE9" w:rsidP="00C22DE9">
      <w:pPr>
        <w:numPr>
          <w:ilvl w:val="0"/>
          <w:numId w:val="1"/>
        </w:numPr>
        <w:shd w:val="clear" w:color="auto" w:fill="FFFFFF"/>
        <w:spacing w:before="100" w:beforeAutospacing="1" w:after="100" w:afterAutospacing="1" w:line="240" w:lineRule="auto"/>
        <w:ind w:left="0" w:right="120"/>
        <w:rPr>
          <w:rFonts w:ascii="Segoe UI" w:eastAsia="Times New Roman" w:hAnsi="Segoe UI" w:cs="Segoe UI"/>
          <w:color w:val="222222"/>
          <w:sz w:val="24"/>
          <w:szCs w:val="24"/>
        </w:rPr>
      </w:pPr>
      <w:hyperlink r:id="rId10" w:anchor="auth-Terje_Andreas-Eikemo" w:history="1">
        <w:proofErr w:type="spellStart"/>
        <w:r w:rsidRPr="00C22DE9">
          <w:rPr>
            <w:rFonts w:ascii="Segoe UI" w:eastAsia="Times New Roman" w:hAnsi="Segoe UI" w:cs="Segoe UI"/>
            <w:color w:val="006699"/>
            <w:sz w:val="24"/>
            <w:szCs w:val="24"/>
            <w:u w:val="single"/>
          </w:rPr>
          <w:t>Terje</w:t>
        </w:r>
        <w:proofErr w:type="spellEnd"/>
        <w:r w:rsidRPr="00C22DE9">
          <w:rPr>
            <w:rFonts w:ascii="Segoe UI" w:eastAsia="Times New Roman" w:hAnsi="Segoe UI" w:cs="Segoe UI"/>
            <w:color w:val="006699"/>
            <w:sz w:val="24"/>
            <w:szCs w:val="24"/>
            <w:u w:val="single"/>
          </w:rPr>
          <w:t xml:space="preserve"> Andreas </w:t>
        </w:r>
        <w:proofErr w:type="spellStart"/>
        <w:r w:rsidRPr="00C22DE9">
          <w:rPr>
            <w:rFonts w:ascii="Segoe UI" w:eastAsia="Times New Roman" w:hAnsi="Segoe UI" w:cs="Segoe UI"/>
            <w:color w:val="006699"/>
            <w:sz w:val="24"/>
            <w:szCs w:val="24"/>
            <w:u w:val="single"/>
          </w:rPr>
          <w:t>Eikemo</w:t>
        </w:r>
        <w:proofErr w:type="spellEnd"/>
      </w:hyperlink>
      <w:r w:rsidRPr="00C22DE9">
        <w:rPr>
          <w:rFonts w:ascii="Segoe UI" w:eastAsia="Times New Roman" w:hAnsi="Segoe UI" w:cs="Segoe UI"/>
          <w:color w:val="222222"/>
          <w:sz w:val="24"/>
          <w:szCs w:val="24"/>
        </w:rPr>
        <w:t> </w:t>
      </w:r>
    </w:p>
    <w:p w:rsidR="00C22DE9" w:rsidRDefault="00C22DE9" w:rsidP="00C22DE9">
      <w:pPr>
        <w:shd w:val="clear" w:color="auto" w:fill="FFFFFF"/>
        <w:spacing w:after="0" w:line="240" w:lineRule="auto"/>
        <w:rPr>
          <w:rFonts w:ascii="Segoe UI" w:hAnsi="Segoe UI" w:cs="Segoe UI" w:hint="eastAsia"/>
          <w:color w:val="222222"/>
          <w:sz w:val="24"/>
          <w:szCs w:val="24"/>
        </w:rPr>
      </w:pPr>
      <w:hyperlink r:id="rId11" w:history="1">
        <w:r w:rsidRPr="00C22DE9">
          <w:rPr>
            <w:rFonts w:ascii="Segoe UI" w:eastAsia="Times New Roman" w:hAnsi="Segoe UI" w:cs="Segoe UI"/>
            <w:i/>
            <w:iCs/>
            <w:color w:val="006699"/>
            <w:sz w:val="24"/>
            <w:szCs w:val="24"/>
            <w:u w:val="single"/>
          </w:rPr>
          <w:t>Humanities and Social Sciences Communications</w:t>
        </w:r>
      </w:hyperlink>
      <w:r w:rsidRPr="00C22DE9">
        <w:rPr>
          <w:rFonts w:ascii="Segoe UI" w:eastAsia="Times New Roman" w:hAnsi="Segoe UI" w:cs="Segoe UI"/>
          <w:color w:val="222222"/>
          <w:sz w:val="24"/>
          <w:szCs w:val="24"/>
        </w:rPr>
        <w:t> </w:t>
      </w:r>
      <w:r w:rsidRPr="00C22DE9">
        <w:rPr>
          <w:rFonts w:ascii="Segoe UI" w:eastAsia="Times New Roman" w:hAnsi="Segoe UI" w:cs="Segoe UI"/>
          <w:b/>
          <w:bCs/>
          <w:color w:val="222222"/>
          <w:sz w:val="24"/>
          <w:szCs w:val="24"/>
          <w:bdr w:val="none" w:sz="0" w:space="0" w:color="auto" w:frame="1"/>
        </w:rPr>
        <w:t>volume</w:t>
      </w:r>
      <w:r w:rsidRPr="00C22DE9">
        <w:rPr>
          <w:rFonts w:ascii="Segoe UI" w:eastAsia="Times New Roman" w:hAnsi="Segoe UI" w:cs="Segoe UI"/>
          <w:b/>
          <w:bCs/>
          <w:color w:val="222222"/>
          <w:sz w:val="24"/>
          <w:szCs w:val="24"/>
        </w:rPr>
        <w:t> 9</w:t>
      </w:r>
      <w:r w:rsidRPr="00C22DE9">
        <w:rPr>
          <w:rFonts w:ascii="Segoe UI" w:eastAsia="Times New Roman" w:hAnsi="Segoe UI" w:cs="Segoe UI"/>
          <w:color w:val="222222"/>
          <w:sz w:val="24"/>
          <w:szCs w:val="24"/>
        </w:rPr>
        <w:t>, Article number: 61 (2022) </w:t>
      </w:r>
      <w:hyperlink r:id="rId12" w:anchor="citeas" w:history="1">
        <w:r w:rsidRPr="00C22DE9">
          <w:rPr>
            <w:rFonts w:ascii="Segoe UI" w:eastAsia="Times New Roman" w:hAnsi="Segoe UI" w:cs="Segoe UI"/>
            <w:color w:val="006699"/>
            <w:sz w:val="24"/>
            <w:szCs w:val="24"/>
            <w:u w:val="single"/>
          </w:rPr>
          <w:t>Cite this article</w:t>
        </w:r>
      </w:hyperlink>
    </w:p>
    <w:p w:rsidR="00C22DE9" w:rsidRDefault="00C22DE9" w:rsidP="00C22DE9">
      <w:pPr>
        <w:shd w:val="clear" w:color="auto" w:fill="FFFFFF"/>
        <w:spacing w:after="0" w:line="240" w:lineRule="auto"/>
        <w:rPr>
          <w:rFonts w:ascii="Segoe UI" w:hAnsi="Segoe UI" w:cs="Segoe UI" w:hint="eastAsia"/>
          <w:color w:val="222222"/>
          <w:sz w:val="24"/>
          <w:szCs w:val="24"/>
        </w:rPr>
      </w:pPr>
    </w:p>
    <w:p w:rsidR="00C22DE9" w:rsidRPr="00C22DE9" w:rsidRDefault="00C22DE9" w:rsidP="00C22DE9">
      <w:pPr>
        <w:shd w:val="clear" w:color="auto" w:fill="FFFFFF"/>
        <w:spacing w:after="0" w:line="240" w:lineRule="auto"/>
        <w:rPr>
          <w:rFonts w:ascii="Segoe UI" w:hAnsi="Segoe UI" w:cs="Segoe UI" w:hint="eastAsia"/>
          <w:color w:val="222222"/>
          <w:sz w:val="24"/>
          <w:szCs w:val="24"/>
        </w:rPr>
      </w:pPr>
      <w:r>
        <w:rPr>
          <w:rFonts w:ascii="Segoe UI" w:hAnsi="Segoe UI" w:cs="Segoe UI" w:hint="eastAsia"/>
          <w:color w:val="222222"/>
          <w:sz w:val="24"/>
          <w:szCs w:val="24"/>
        </w:rPr>
        <w:t>2/23/2022</w:t>
      </w:r>
    </w:p>
    <w:p w:rsidR="00D31AA7" w:rsidRDefault="00D31AA7">
      <w:pPr>
        <w:rPr>
          <w:rFonts w:hint="eastAsia"/>
        </w:rPr>
      </w:pPr>
    </w:p>
    <w:p w:rsidR="00C22DE9" w:rsidRDefault="00C22DE9">
      <w:pPr>
        <w:rPr>
          <w:rFonts w:hint="eastAsia"/>
        </w:rPr>
      </w:pPr>
      <w:hyperlink r:id="rId13" w:history="1">
        <w:r w:rsidRPr="00C65D02">
          <w:rPr>
            <w:rStyle w:val="Hyperlink"/>
          </w:rPr>
          <w:t>https://www.nature.com/articles/s41599-022-01073-z</w:t>
        </w:r>
      </w:hyperlink>
    </w:p>
    <w:p w:rsidR="00C22DE9" w:rsidRDefault="00C22DE9">
      <w:pPr>
        <w:rPr>
          <w:rFonts w:hint="eastAsia"/>
        </w:rPr>
      </w:pPr>
    </w:p>
    <w:p w:rsidR="00C22DE9" w:rsidRDefault="00C22DE9" w:rsidP="00C22DE9">
      <w:pPr>
        <w:pStyle w:val="NormalWeb"/>
        <w:shd w:val="clear" w:color="auto" w:fill="FFFFFF"/>
        <w:spacing w:before="0" w:beforeAutospacing="0" w:after="420" w:afterAutospacing="0"/>
        <w:rPr>
          <w:rFonts w:ascii="Segoe UI" w:hAnsi="Segoe UI" w:cs="Segoe UI"/>
          <w:b/>
          <w:bCs/>
          <w:color w:val="222222"/>
          <w:sz w:val="27"/>
          <w:szCs w:val="27"/>
          <w:lang w:val="en"/>
        </w:rPr>
      </w:pPr>
      <w:r>
        <w:rPr>
          <w:rFonts w:ascii="Segoe UI" w:hAnsi="Segoe UI" w:cs="Segoe UI"/>
          <w:b/>
          <w:bCs/>
          <w:color w:val="222222"/>
          <w:sz w:val="27"/>
          <w:szCs w:val="27"/>
          <w:lang w:val="en"/>
        </w:rPr>
        <w:t xml:space="preserve">The Covid-19 pandemic—and its social and economic fallout—has thrust social and health-related inequalities into the spotlight. The pandemic, and our response to it, has induced new inequalities both within and between nations. However, now that highly efficacious vaccines are available, one might reasonably presume that we have in our hands the tools to address pandemic-associated inequalities. Nevertheless, two prominent social science theories, fundamental cause theory and diffusion of innovation theory suggest otherwise. Together, these theories predict that better resourced individuals and countries will jockey to harness the greatest vaccine benefit for themselves, leaving large populations of disadvantaged people unprotected. While many other life-saving prevention measures have been distributed unequally in ways these theories would predict, the COVID-19 vaccines represent a different kind of case. As the disease is so highly infectious and because mutations lead to new variants so rapidly, any inequality-generating </w:t>
      </w:r>
      <w:r>
        <w:rPr>
          <w:rFonts w:ascii="Segoe UI" w:hAnsi="Segoe UI" w:cs="Segoe UI"/>
          <w:b/>
          <w:bCs/>
          <w:color w:val="222222"/>
          <w:sz w:val="27"/>
          <w:szCs w:val="27"/>
          <w:lang w:val="en"/>
        </w:rPr>
        <w:lastRenderedPageBreak/>
        <w:t>process that leaves disadvantaged individuals and countries behind acts to put everyone—rich and poor—at risk. It is time that we ensure the equitable distribution of this life-saving benefit. As the fundamental cause and diffusion of innovation theories help illuminate processes that regularly produce inequities, we turn to them to reason about the rollout of the COVID-19 vaccines. Specifically, employ them to suggest countermoves that may be necessary to avoid an irrational and inequitable vaccine rollout that ends up unfavorably affecting all people.</w:t>
      </w:r>
    </w:p>
    <w:p w:rsidR="00C22DE9" w:rsidRDefault="00C22DE9" w:rsidP="00C22DE9">
      <w:pPr>
        <w:pStyle w:val="Heading2"/>
        <w:pBdr>
          <w:bottom w:val="single" w:sz="12" w:space="6" w:color="D5D5D5"/>
        </w:pBdr>
        <w:shd w:val="clear" w:color="auto" w:fill="FFFFFF"/>
        <w:spacing w:before="0"/>
        <w:rPr>
          <w:rFonts w:ascii="Segoe UI" w:hAnsi="Segoe UI" w:cs="Segoe UI"/>
          <w:color w:val="222222"/>
          <w:sz w:val="36"/>
          <w:szCs w:val="36"/>
        </w:rPr>
      </w:pPr>
      <w:r>
        <w:rPr>
          <w:rFonts w:ascii="Segoe UI" w:hAnsi="Segoe UI" w:cs="Segoe UI"/>
          <w:color w:val="222222"/>
        </w:rPr>
        <w:t>Introduction</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On March 11, 2020, the World Health Organization (WHO) declared COVID-19 a pandemic. As of 6:36 p.m. CEST, 4 October 2021, there have been 234,809,103 confirmed cases of COVID-19, including 4,800,375 deaths, reported to WHO across the world. In response, at least 18 COVID-19 vaccines have been developed and implemented for human use globally (Holder, </w:t>
      </w:r>
      <w:hyperlink r:id="rId14" w:anchor="ref-CR18" w:tooltip="Holder J (2021, January 29). Tracking Coronavirus Vaccinations Around the World. The New York Times. &#10;                  https://www.nytimes.com/interactive/2021/world/covid-vaccinations-tracker.html&#10;                  &#10;                " w:history="1">
        <w:r>
          <w:rPr>
            <w:rStyle w:val="Hyperlink"/>
            <w:rFonts w:ascii="Segoe UI" w:hAnsi="Segoe UI" w:cs="Segoe UI"/>
            <w:color w:val="006699"/>
            <w:sz w:val="27"/>
            <w:szCs w:val="27"/>
          </w:rPr>
          <w:t>2021</w:t>
        </w:r>
      </w:hyperlink>
      <w:r>
        <w:rPr>
          <w:rFonts w:ascii="Segoe UI" w:hAnsi="Segoe UI" w:cs="Segoe UI"/>
          <w:color w:val="222222"/>
          <w:sz w:val="27"/>
          <w:szCs w:val="27"/>
        </w:rPr>
        <w:t>). As of October 3rd 2021, a total of 6,188,903,420 vaccine doses have been administered (WHO, </w:t>
      </w:r>
      <w:hyperlink r:id="rId15" w:anchor="ref-CR33" w:tooltip="WHO (2021) Coronavirus (COVID-19) Dashboard. &#10;                  https://covid19.who.int&#10;                  &#10;                " w:history="1">
        <w:r>
          <w:rPr>
            <w:rStyle w:val="Hyperlink"/>
            <w:rFonts w:ascii="Segoe UI" w:hAnsi="Segoe UI" w:cs="Segoe UI"/>
            <w:color w:val="006699"/>
            <w:sz w:val="27"/>
            <w:szCs w:val="27"/>
          </w:rPr>
          <w:t>2021</w:t>
        </w:r>
      </w:hyperlink>
      <w:r>
        <w:rPr>
          <w:rFonts w:ascii="Segoe UI" w:hAnsi="Segoe UI" w:cs="Segoe UI"/>
          <w:color w:val="222222"/>
          <w:sz w:val="27"/>
          <w:szCs w:val="27"/>
        </w:rPr>
        <w:t>). Nevertheless, the geographic distribution has not been equal. As of October 1st 2021, the highest-income countries—as classified by the World Bank—had a per-capita vaccination rate of 125.3 vaccinations per 100 people, representing nearly 3-fold higher than the rate for lower-middle-income countries of 45.3 per 100, and 30-fold higher than lower-income countries with 4.2 per 100 (Fig. </w:t>
      </w:r>
      <w:hyperlink r:id="rId16" w:anchor="Fig1" w:history="1">
        <w:r>
          <w:rPr>
            <w:rStyle w:val="Hyperlink"/>
            <w:rFonts w:ascii="Segoe UI" w:hAnsi="Segoe UI" w:cs="Segoe UI"/>
            <w:color w:val="006699"/>
            <w:sz w:val="27"/>
            <w:szCs w:val="27"/>
          </w:rPr>
          <w:t>1</w:t>
        </w:r>
      </w:hyperlink>
      <w:r>
        <w:rPr>
          <w:rFonts w:ascii="Segoe UI" w:hAnsi="Segoe UI" w:cs="Segoe UI"/>
          <w:color w:val="222222"/>
          <w:sz w:val="27"/>
          <w:szCs w:val="27"/>
        </w:rPr>
        <w:t xml:space="preserve">). It is also important to consider that efficacy varies widely between vaccinations, for different variants. It may be the case that vaccines in lower-income countries are also more likely to be of lower efficacy on average, compounding the disparity. For instance, the Sputnik, </w:t>
      </w:r>
      <w:proofErr w:type="spellStart"/>
      <w:r>
        <w:rPr>
          <w:rFonts w:ascii="Segoe UI" w:hAnsi="Segoe UI" w:cs="Segoe UI"/>
          <w:color w:val="222222"/>
          <w:sz w:val="27"/>
          <w:szCs w:val="27"/>
        </w:rPr>
        <w:t>Sinopharm</w:t>
      </w:r>
      <w:proofErr w:type="spellEnd"/>
      <w:r>
        <w:rPr>
          <w:rFonts w:ascii="Segoe UI" w:hAnsi="Segoe UI" w:cs="Segoe UI"/>
          <w:color w:val="222222"/>
          <w:sz w:val="27"/>
          <w:szCs w:val="27"/>
        </w:rPr>
        <w:t xml:space="preserve">, and Janssen vaccines have been used more widely in low and middle-income countries, and have lower efficacy against the Omicron variant compared to vaccines from Pfizer and </w:t>
      </w:r>
      <w:proofErr w:type="spellStart"/>
      <w:r>
        <w:rPr>
          <w:rFonts w:ascii="Segoe UI" w:hAnsi="Segoe UI" w:cs="Segoe UI"/>
          <w:color w:val="222222"/>
          <w:sz w:val="27"/>
          <w:szCs w:val="27"/>
        </w:rPr>
        <w:t>Moderna</w:t>
      </w:r>
      <w:proofErr w:type="spellEnd"/>
      <w:r>
        <w:rPr>
          <w:rFonts w:ascii="Segoe UI" w:hAnsi="Segoe UI" w:cs="Segoe UI"/>
          <w:color w:val="222222"/>
          <w:sz w:val="27"/>
          <w:szCs w:val="27"/>
        </w:rPr>
        <w:t>—used more predominantly in higher-income locations (</w:t>
      </w:r>
      <w:proofErr w:type="spellStart"/>
      <w:r>
        <w:rPr>
          <w:rFonts w:ascii="Segoe UI" w:hAnsi="Segoe UI" w:cs="Segoe UI"/>
          <w:color w:val="222222"/>
          <w:sz w:val="27"/>
          <w:szCs w:val="27"/>
        </w:rPr>
        <w:t>Cameroni</w:t>
      </w:r>
      <w:proofErr w:type="spellEnd"/>
      <w:r>
        <w:rPr>
          <w:rFonts w:ascii="Segoe UI" w:hAnsi="Segoe UI" w:cs="Segoe UI"/>
          <w:color w:val="222222"/>
          <w:sz w:val="27"/>
          <w:szCs w:val="27"/>
        </w:rPr>
        <w:t xml:space="preserve"> et al., </w:t>
      </w:r>
      <w:hyperlink r:id="rId17" w:anchor="ref-CR5" w:tooltip="Cameroni E, Saliba C, Bowen JE, Rosen LE, Culap K, Pinto D, Marco AD, Zepeda SK, Iulio J di, Zatta F, Kaiser H, Noack J, Farhat N, Czudnochowski N, Havenar-Daughton C, Sprouse KR, Dillen JR, Powell AE, Chen A, … Corti D (2021) Broadly neutralizing antibodies overcome SARS-CoV-2 Omicron antigenic shift. &#10;                  https://doi.org/10.1101/2021.12.12.472269&#10;                  &#10;                " w:history="1">
        <w:r>
          <w:rPr>
            <w:rStyle w:val="Hyperlink"/>
            <w:rFonts w:ascii="Segoe UI" w:hAnsi="Segoe UI" w:cs="Segoe UI"/>
            <w:color w:val="006699"/>
            <w:sz w:val="27"/>
            <w:szCs w:val="27"/>
          </w:rPr>
          <w:t>2021</w:t>
        </w:r>
      </w:hyperlink>
      <w:r>
        <w:rPr>
          <w:rFonts w:ascii="Segoe UI" w:hAnsi="Segoe UI" w:cs="Segoe UI"/>
          <w:color w:val="222222"/>
          <w:sz w:val="27"/>
          <w:szCs w:val="27"/>
        </w:rPr>
        <w:t>; Holder, </w:t>
      </w:r>
      <w:hyperlink r:id="rId18" w:anchor="ref-CR18" w:tooltip="Holder J (2021, January 29). Tracking Coronavirus Vaccinations Around the World. The New York Times. &#10;                  https://www.nytimes.com/interactive/2021/world/covid-vaccinations-tracker.html&#10;                  &#10;                " w:history="1">
        <w:r>
          <w:rPr>
            <w:rStyle w:val="Hyperlink"/>
            <w:rFonts w:ascii="Segoe UI" w:hAnsi="Segoe UI" w:cs="Segoe UI"/>
            <w:color w:val="006699"/>
            <w:sz w:val="27"/>
            <w:szCs w:val="27"/>
          </w:rPr>
          <w:t>2021</w:t>
        </w:r>
      </w:hyperlink>
      <w:r>
        <w:rPr>
          <w:rFonts w:ascii="Segoe UI" w:hAnsi="Segoe UI" w:cs="Segoe UI"/>
          <w:color w:val="222222"/>
          <w:sz w:val="27"/>
          <w:szCs w:val="27"/>
        </w:rPr>
        <w:t>). This represents an astoundingly unequal distribution of this critical public good. Furthermore, within countries large disparities have been observed along lines of income, race, ethnicity, and other contextually relevant markers of social class (cf. (</w:t>
      </w:r>
      <w:proofErr w:type="spellStart"/>
      <w:r>
        <w:rPr>
          <w:rFonts w:ascii="Segoe UI" w:hAnsi="Segoe UI" w:cs="Segoe UI"/>
          <w:color w:val="222222"/>
          <w:sz w:val="27"/>
          <w:szCs w:val="27"/>
        </w:rPr>
        <w:t>Ndugga</w:t>
      </w:r>
      <w:proofErr w:type="spellEnd"/>
      <w:r>
        <w:rPr>
          <w:rFonts w:ascii="Segoe UI" w:hAnsi="Segoe UI" w:cs="Segoe UI"/>
          <w:color w:val="222222"/>
          <w:sz w:val="27"/>
          <w:szCs w:val="27"/>
        </w:rPr>
        <w:t xml:space="preserve"> et al., </w:t>
      </w:r>
      <w:hyperlink r:id="rId19" w:anchor="ref-CR22" w:tooltip="Ndugga N, Pham O, Hill L, Artiga S, Mengistu S (2021, January 21). Early state vaccination data raise warning flags for racial equity. KFF. &#10;                  https://www.kff.org/policy-watch/early-state-vaccination-data-raise-warning-flags-racial-equity/&#10;                  &#10;                " w:history="1">
        <w:r>
          <w:rPr>
            <w:rStyle w:val="Hyperlink"/>
            <w:rFonts w:ascii="Segoe UI" w:hAnsi="Segoe UI" w:cs="Segoe UI"/>
            <w:color w:val="006699"/>
            <w:sz w:val="27"/>
            <w:szCs w:val="27"/>
          </w:rPr>
          <w:t>2021</w:t>
        </w:r>
      </w:hyperlink>
      <w:r>
        <w:rPr>
          <w:rFonts w:ascii="Segoe UI" w:hAnsi="Segoe UI" w:cs="Segoe UI"/>
          <w:color w:val="222222"/>
          <w:sz w:val="27"/>
          <w:szCs w:val="27"/>
        </w:rPr>
        <w:t>; Painter, </w:t>
      </w:r>
      <w:hyperlink r:id="rId20" w:anchor="ref-CR24" w:tooltip="Painter EM (2021) Demographic characteristics of persons vaccinated during the first month of the COVID-19 vaccination program—United States, December 14, 2020–January 14, 2021. MMWR. Morbidity and Mortality Weekly Report, 70. &#10;                  https://doi.org/10.15585/mmwr.mm7005e1&#10;                  &#10;                " w:history="1">
        <w:r>
          <w:rPr>
            <w:rStyle w:val="Hyperlink"/>
            <w:rFonts w:ascii="Segoe UI" w:hAnsi="Segoe UI" w:cs="Segoe UI"/>
            <w:color w:val="006699"/>
            <w:sz w:val="27"/>
            <w:szCs w:val="27"/>
          </w:rPr>
          <w:t>2021</w:t>
        </w:r>
      </w:hyperlink>
      <w:r>
        <w:rPr>
          <w:rFonts w:ascii="Segoe UI" w:hAnsi="Segoe UI" w:cs="Segoe UI"/>
          <w:color w:val="222222"/>
          <w:sz w:val="27"/>
          <w:szCs w:val="27"/>
        </w:rPr>
        <w:t xml:space="preserve">)). These international disparities in COVID-19 vaccination rates persist, although </w:t>
      </w:r>
      <w:r>
        <w:rPr>
          <w:rFonts w:ascii="Segoe UI" w:hAnsi="Segoe UI" w:cs="Segoe UI"/>
          <w:color w:val="222222"/>
          <w:sz w:val="27"/>
          <w:szCs w:val="27"/>
        </w:rPr>
        <w:lastRenderedPageBreak/>
        <w:t>COVID-19 has had a profound epidemiological, social, and economic impact in every world region (</w:t>
      </w:r>
      <w:proofErr w:type="spellStart"/>
      <w:r>
        <w:rPr>
          <w:rFonts w:ascii="Segoe UI" w:hAnsi="Segoe UI" w:cs="Segoe UI"/>
          <w:color w:val="222222"/>
          <w:sz w:val="27"/>
          <w:szCs w:val="27"/>
        </w:rPr>
        <w:t>Bollyky</w:t>
      </w:r>
      <w:proofErr w:type="spellEnd"/>
      <w:r>
        <w:rPr>
          <w:rFonts w:ascii="Segoe UI" w:hAnsi="Segoe UI" w:cs="Segoe UI"/>
          <w:color w:val="222222"/>
          <w:sz w:val="27"/>
          <w:szCs w:val="27"/>
        </w:rPr>
        <w:t xml:space="preserve"> et al., </w:t>
      </w:r>
      <w:hyperlink r:id="rId21" w:anchor="ref-CR4" w:tooltip="Bollyky TJ, Murray CJL, Reiner RC (2021) Epidemiology, not geopolitics, should guide COVID-19 vaccine donations. Lancet 398(10295):97–99. &#10;                  https://doi.org/10.1016/S0140-6736(21)01323-4&#10;                  &#10;                " w:history="1">
        <w:r>
          <w:rPr>
            <w:rStyle w:val="Hyperlink"/>
            <w:rFonts w:ascii="Segoe UI" w:hAnsi="Segoe UI" w:cs="Segoe UI"/>
            <w:color w:val="006699"/>
            <w:sz w:val="27"/>
            <w:szCs w:val="27"/>
          </w:rPr>
          <w:t>2021</w:t>
        </w:r>
      </w:hyperlink>
      <w:r>
        <w:rPr>
          <w:rFonts w:ascii="Segoe UI" w:hAnsi="Segoe UI" w:cs="Segoe UI"/>
          <w:color w:val="222222"/>
          <w:sz w:val="27"/>
          <w:szCs w:val="27"/>
        </w:rPr>
        <w:t xml:space="preserve">; </w:t>
      </w:r>
      <w:proofErr w:type="spellStart"/>
      <w:r>
        <w:rPr>
          <w:rFonts w:ascii="Segoe UI" w:hAnsi="Segoe UI" w:cs="Segoe UI"/>
          <w:color w:val="222222"/>
          <w:sz w:val="27"/>
          <w:szCs w:val="27"/>
        </w:rPr>
        <w:t>Schellekens</w:t>
      </w:r>
      <w:proofErr w:type="spellEnd"/>
      <w:r>
        <w:rPr>
          <w:rFonts w:ascii="Segoe UI" w:hAnsi="Segoe UI" w:cs="Segoe UI"/>
          <w:color w:val="222222"/>
          <w:sz w:val="27"/>
          <w:szCs w:val="27"/>
        </w:rPr>
        <w:t xml:space="preserve"> &amp; </w:t>
      </w:r>
      <w:proofErr w:type="spellStart"/>
      <w:r>
        <w:rPr>
          <w:rFonts w:ascii="Segoe UI" w:hAnsi="Segoe UI" w:cs="Segoe UI"/>
          <w:color w:val="222222"/>
          <w:sz w:val="27"/>
          <w:szCs w:val="27"/>
        </w:rPr>
        <w:t>Wadhwa</w:t>
      </w:r>
      <w:proofErr w:type="spellEnd"/>
      <w:r>
        <w:rPr>
          <w:rFonts w:ascii="Segoe UI" w:hAnsi="Segoe UI" w:cs="Segoe UI"/>
          <w:color w:val="222222"/>
          <w:sz w:val="27"/>
          <w:szCs w:val="27"/>
        </w:rPr>
        <w:t>, </w:t>
      </w:r>
      <w:hyperlink r:id="rId22" w:anchor="ref-CR28" w:tooltip="Schellekens P, Wadhwa D (2021) Relative severity of COVID-19 mortality: a new indicator on the World Bank’s data platform. &#10;                  https://blogs.worldbank.org/opendata/relative-severity-covid-19-mortality-new-indicator-world-banks-data-platform&#10;                  &#10;                " w:history="1">
        <w:r>
          <w:rPr>
            <w:rStyle w:val="Hyperlink"/>
            <w:rFonts w:ascii="Segoe UI" w:hAnsi="Segoe UI" w:cs="Segoe UI"/>
            <w:color w:val="006699"/>
            <w:sz w:val="27"/>
            <w:szCs w:val="27"/>
          </w:rPr>
          <w:t>2021</w:t>
        </w:r>
      </w:hyperlink>
      <w:r>
        <w:rPr>
          <w:rFonts w:ascii="Segoe UI" w:hAnsi="Segoe UI" w:cs="Segoe UI"/>
          <w:color w:val="222222"/>
          <w:sz w:val="27"/>
          <w:szCs w:val="27"/>
        </w:rPr>
        <w:t>).</w:t>
      </w:r>
    </w:p>
    <w:p w:rsidR="00C22DE9" w:rsidRDefault="00C22DE9" w:rsidP="00C22DE9">
      <w:pPr>
        <w:shd w:val="clear" w:color="auto" w:fill="FFFFFF"/>
        <w:rPr>
          <w:rFonts w:ascii="Segoe UI" w:hAnsi="Segoe UI" w:cs="Segoe UI"/>
          <w:color w:val="222222"/>
          <w:sz w:val="27"/>
          <w:szCs w:val="27"/>
        </w:rPr>
      </w:pPr>
      <w:r>
        <w:rPr>
          <w:rFonts w:ascii="Segoe UI" w:hAnsi="Segoe UI" w:cs="Segoe UI"/>
          <w:b/>
          <w:bCs/>
          <w:color w:val="222222"/>
          <w:sz w:val="27"/>
          <w:szCs w:val="27"/>
        </w:rPr>
        <w:t xml:space="preserve">Fig. 1: Global distribution of covid-19 vaccinations by </w:t>
      </w:r>
      <w:proofErr w:type="gramStart"/>
      <w:r>
        <w:rPr>
          <w:rFonts w:ascii="Segoe UI" w:hAnsi="Segoe UI" w:cs="Segoe UI"/>
          <w:b/>
          <w:bCs/>
          <w:color w:val="222222"/>
          <w:sz w:val="27"/>
          <w:szCs w:val="27"/>
        </w:rPr>
        <w:t>world bank</w:t>
      </w:r>
      <w:proofErr w:type="gramEnd"/>
      <w:r>
        <w:rPr>
          <w:rFonts w:ascii="Segoe UI" w:hAnsi="Segoe UI" w:cs="Segoe UI"/>
          <w:b/>
          <w:bCs/>
          <w:color w:val="222222"/>
          <w:sz w:val="27"/>
          <w:szCs w:val="27"/>
        </w:rPr>
        <w:t xml:space="preserve"> country income groups.</w:t>
      </w:r>
    </w:p>
    <w:p w:rsidR="00C22DE9" w:rsidRDefault="00C22DE9" w:rsidP="00C22DE9">
      <w:pPr>
        <w:shd w:val="clear" w:color="auto" w:fill="FFFFFF"/>
        <w:rPr>
          <w:rFonts w:ascii="Segoe UI" w:hAnsi="Segoe UI" w:cs="Segoe UI"/>
          <w:color w:val="222222"/>
          <w:sz w:val="27"/>
          <w:szCs w:val="27"/>
        </w:rPr>
      </w:pPr>
      <w:r>
        <w:rPr>
          <w:rFonts w:ascii="Segoe UI" w:hAnsi="Segoe UI" w:cs="Segoe UI"/>
          <w:noProof/>
          <w:color w:val="006699"/>
          <w:sz w:val="27"/>
          <w:szCs w:val="27"/>
        </w:rPr>
        <w:drawing>
          <wp:inline distT="0" distB="0" distL="0" distR="0">
            <wp:extent cx="6521450" cy="3092450"/>
            <wp:effectExtent l="0" t="0" r="0" b="0"/>
            <wp:docPr id="2" name="Picture 2" descr="figure 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1">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521450" cy="3092450"/>
                    </a:xfrm>
                    <a:prstGeom prst="rect">
                      <a:avLst/>
                    </a:prstGeom>
                    <a:noFill/>
                    <a:ln>
                      <a:noFill/>
                    </a:ln>
                  </pic:spPr>
                </pic:pic>
              </a:graphicData>
            </a:graphic>
          </wp:inline>
        </w:drawing>
      </w:r>
    </w:p>
    <w:p w:rsidR="00C22DE9" w:rsidRDefault="00C22DE9" w:rsidP="00C22DE9">
      <w:pPr>
        <w:pStyle w:val="NormalWeb"/>
        <w:shd w:val="clear" w:color="auto" w:fill="FFFFFF"/>
        <w:spacing w:before="0" w:beforeAutospacing="0" w:after="0" w:afterAutospacing="0"/>
        <w:rPr>
          <w:rFonts w:ascii="Segoe UI" w:hAnsi="Segoe UI" w:cs="Segoe UI"/>
          <w:color w:val="222222"/>
          <w:sz w:val="27"/>
          <w:szCs w:val="27"/>
        </w:rPr>
      </w:pPr>
      <w:r>
        <w:rPr>
          <w:rFonts w:ascii="Segoe UI" w:hAnsi="Segoe UI" w:cs="Segoe UI"/>
          <w:color w:val="222222"/>
          <w:sz w:val="27"/>
          <w:szCs w:val="27"/>
        </w:rPr>
        <w:t xml:space="preserve">The rate of vaccination doses administered per 100 </w:t>
      </w:r>
      <w:proofErr w:type="gramStart"/>
      <w:r>
        <w:rPr>
          <w:rFonts w:ascii="Segoe UI" w:hAnsi="Segoe UI" w:cs="Segoe UI"/>
          <w:color w:val="222222"/>
          <w:sz w:val="27"/>
          <w:szCs w:val="27"/>
        </w:rPr>
        <w:t>population</w:t>
      </w:r>
      <w:proofErr w:type="gramEnd"/>
      <w:r>
        <w:rPr>
          <w:rFonts w:ascii="Segoe UI" w:hAnsi="Segoe UI" w:cs="Segoe UI"/>
          <w:color w:val="222222"/>
          <w:sz w:val="27"/>
          <w:szCs w:val="27"/>
        </w:rPr>
        <w:t xml:space="preserve"> is shown as of October 1st, 2021, separate by world bank county income groups, according to data from ourworldindata.org.</w:t>
      </w:r>
    </w:p>
    <w:p w:rsidR="00C22DE9" w:rsidRDefault="00C22DE9" w:rsidP="00C22DE9">
      <w:pPr>
        <w:shd w:val="clear" w:color="auto" w:fill="FFFFFF"/>
        <w:jc w:val="right"/>
        <w:rPr>
          <w:rFonts w:ascii="Segoe UI" w:hAnsi="Segoe UI" w:cs="Segoe UI"/>
          <w:color w:val="222222"/>
          <w:sz w:val="27"/>
          <w:szCs w:val="27"/>
        </w:rPr>
      </w:pPr>
      <w:hyperlink r:id="rId25" w:history="1">
        <w:r>
          <w:rPr>
            <w:rStyle w:val="Hyperlink"/>
            <w:rFonts w:ascii="Segoe UI" w:hAnsi="Segoe UI" w:cs="Segoe UI"/>
            <w:b/>
            <w:bCs/>
            <w:color w:val="006699"/>
            <w:sz w:val="27"/>
            <w:szCs w:val="27"/>
            <w:bdr w:val="single" w:sz="24" w:space="6" w:color="BCD2DC" w:frame="1"/>
            <w:shd w:val="clear" w:color="auto" w:fill="FFFFFF"/>
          </w:rPr>
          <w:t>Full size image</w:t>
        </w:r>
      </w:hyperlink>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Although these disparities are startling, we argue that they are not surprising. Indeed, vaccination rates between these groups of countries mirror numerous other outcomes such as the global accumulation of wealth, or average life expectancy. Similarities in inequalities between countries in these diverse indicators point to the idea that they may all simply be symptoms of the deeper, fundamental causes of inequalities between and within the world’s societies.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lastRenderedPageBreak/>
        <w:t>Inequality has been named the “handmaiden of progress”. Throughout history, people have gained improved living standards guided by new knowledge and technological innovations. This has been an especially dominating narrative during the last decades, as we have seen a global decline in poverty, infant mortality, and other health measures. However, this continuous improvement happens at different rates for different social groups. Evidence suggests that people of higher social positions are the first to take advantage of health-related progress, with increasing disparities in health outcomes as a consequence (</w:t>
      </w:r>
      <w:proofErr w:type="spellStart"/>
      <w:r>
        <w:rPr>
          <w:rFonts w:ascii="Segoe UI" w:hAnsi="Segoe UI" w:cs="Segoe UI"/>
          <w:color w:val="222222"/>
          <w:sz w:val="27"/>
          <w:szCs w:val="27"/>
        </w:rPr>
        <w:t>Glied</w:t>
      </w:r>
      <w:proofErr w:type="spellEnd"/>
      <w:r>
        <w:rPr>
          <w:rFonts w:ascii="Segoe UI" w:hAnsi="Segoe UI" w:cs="Segoe UI"/>
          <w:color w:val="222222"/>
          <w:sz w:val="27"/>
          <w:szCs w:val="27"/>
        </w:rPr>
        <w:t xml:space="preserve"> &amp; </w:t>
      </w:r>
      <w:proofErr w:type="spellStart"/>
      <w:r>
        <w:rPr>
          <w:rFonts w:ascii="Segoe UI" w:hAnsi="Segoe UI" w:cs="Segoe UI"/>
          <w:color w:val="222222"/>
          <w:sz w:val="27"/>
          <w:szCs w:val="27"/>
        </w:rPr>
        <w:t>Lleras-Muney</w:t>
      </w:r>
      <w:proofErr w:type="spellEnd"/>
      <w:r>
        <w:rPr>
          <w:rFonts w:ascii="Segoe UI" w:hAnsi="Segoe UI" w:cs="Segoe UI"/>
          <w:color w:val="222222"/>
          <w:sz w:val="27"/>
          <w:szCs w:val="27"/>
        </w:rPr>
        <w:t>, </w:t>
      </w:r>
      <w:hyperlink r:id="rId26" w:anchor="ref-CR15" w:tooltip="Glied S, Lleras-Muney A (2008) Technological innovation and inequality in health. Demography 45(3):741–761" w:history="1">
        <w:r>
          <w:rPr>
            <w:rStyle w:val="Hyperlink"/>
            <w:rFonts w:ascii="Segoe UI" w:hAnsi="Segoe UI" w:cs="Segoe UI"/>
            <w:color w:val="006699"/>
            <w:sz w:val="27"/>
            <w:szCs w:val="27"/>
          </w:rPr>
          <w:t>2008</w:t>
        </w:r>
      </w:hyperlink>
      <w:r>
        <w:rPr>
          <w:rFonts w:ascii="Segoe UI" w:hAnsi="Segoe UI" w:cs="Segoe UI"/>
          <w:color w:val="222222"/>
          <w:sz w:val="27"/>
          <w:szCs w:val="27"/>
        </w:rPr>
        <w:t>). This is not to say that there exists a linear relationship between health inequalities and medical and technical development, but rather to demonstrate some unfortunate, mainly short-term, consequences that are nevertheless extremely relevant for the kind of rapid global implementation of vaccination schemes required to effectively stop a pandemic.</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The Covid-19 pandemic represents a unique case where inequality may not simply represent a temporary and unwanted consequence of progress but may actually undo our efforts to defeat the virus. The disease is highly infectious, and transmission leads to new variants through mutation, which may be able to evolve the ability to escape the protective effects of the vaccine. Given these facts, any population where the virus is allowed to spread unchecked puts even fully vaccinated groups in jeopardy for subsequent rounds of infection. This collective nature of global outcomes in the Covid-19 pandemic compels us to search for solutions to the seemingly inevitable inequalities that have accompanied most major technological advances.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Here we draw on two theories from social science—</w:t>
      </w:r>
      <w:r>
        <w:rPr>
          <w:rFonts w:ascii="Segoe UI" w:hAnsi="Segoe UI" w:cs="Segoe UI"/>
          <w:i/>
          <w:iCs/>
          <w:color w:val="222222"/>
          <w:sz w:val="27"/>
          <w:szCs w:val="27"/>
        </w:rPr>
        <w:t>fundamental causes</w:t>
      </w:r>
      <w:r>
        <w:rPr>
          <w:rFonts w:ascii="Segoe UI" w:hAnsi="Segoe UI" w:cs="Segoe UI"/>
          <w:color w:val="222222"/>
          <w:sz w:val="27"/>
          <w:szCs w:val="27"/>
        </w:rPr>
        <w:t> (FCT, cf. (Link &amp; Phelan, </w:t>
      </w:r>
      <w:hyperlink r:id="rId27" w:anchor="ref-CR20" w:tooltip="Link BG, Phelan J (1995) Social conditions as fundamental causes of disease J Health Soc Behav 35:80–94" w:history="1">
        <w:r>
          <w:rPr>
            <w:rStyle w:val="Hyperlink"/>
            <w:rFonts w:ascii="Segoe UI" w:hAnsi="Segoe UI" w:cs="Segoe UI"/>
            <w:color w:val="006699"/>
            <w:sz w:val="27"/>
            <w:szCs w:val="27"/>
          </w:rPr>
          <w:t>1995</w:t>
        </w:r>
      </w:hyperlink>
      <w:r>
        <w:rPr>
          <w:rFonts w:ascii="Segoe UI" w:hAnsi="Segoe UI" w:cs="Segoe UI"/>
          <w:color w:val="222222"/>
          <w:sz w:val="27"/>
          <w:szCs w:val="27"/>
        </w:rPr>
        <w:t>)) and the </w:t>
      </w:r>
      <w:r>
        <w:rPr>
          <w:rFonts w:ascii="Segoe UI" w:hAnsi="Segoe UI" w:cs="Segoe UI"/>
          <w:i/>
          <w:iCs/>
          <w:color w:val="222222"/>
          <w:sz w:val="27"/>
          <w:szCs w:val="27"/>
        </w:rPr>
        <w:t>diffusion of innovations</w:t>
      </w:r>
      <w:r>
        <w:rPr>
          <w:rFonts w:ascii="Segoe UI" w:hAnsi="Segoe UI" w:cs="Segoe UI"/>
          <w:color w:val="222222"/>
          <w:sz w:val="27"/>
          <w:szCs w:val="27"/>
        </w:rPr>
        <w:t> (</w:t>
      </w:r>
      <w:proofErr w:type="spellStart"/>
      <w:r>
        <w:rPr>
          <w:rFonts w:ascii="Segoe UI" w:hAnsi="Segoe UI" w:cs="Segoe UI"/>
          <w:color w:val="222222"/>
          <w:sz w:val="27"/>
          <w:szCs w:val="27"/>
        </w:rPr>
        <w:t>DoI</w:t>
      </w:r>
      <w:proofErr w:type="spellEnd"/>
      <w:r>
        <w:rPr>
          <w:rFonts w:ascii="Segoe UI" w:hAnsi="Segoe UI" w:cs="Segoe UI"/>
          <w:color w:val="222222"/>
          <w:sz w:val="27"/>
          <w:szCs w:val="27"/>
        </w:rPr>
        <w:t>, cf. (Rogers, </w:t>
      </w:r>
      <w:hyperlink r:id="rId28" w:anchor="ref-CR27" w:tooltip="Rogers EM (2010) Diffusion of innovations. Simon and Schuster" w:history="1">
        <w:r>
          <w:rPr>
            <w:rStyle w:val="Hyperlink"/>
            <w:rFonts w:ascii="Segoe UI" w:hAnsi="Segoe UI" w:cs="Segoe UI"/>
            <w:color w:val="006699"/>
            <w:sz w:val="27"/>
            <w:szCs w:val="27"/>
          </w:rPr>
          <w:t>2010</w:t>
        </w:r>
      </w:hyperlink>
      <w:r>
        <w:rPr>
          <w:rFonts w:ascii="Segoe UI" w:hAnsi="Segoe UI" w:cs="Segoe UI"/>
          <w:color w:val="222222"/>
          <w:sz w:val="27"/>
          <w:szCs w:val="27"/>
        </w:rPr>
        <w:t>))—which show us that the current socioeconomic distribution of Covid-19 vaccinations is predictable, yet avoidable. These theories provide a useful lens for understanding the processes in place and identifying the structural issues that underlie them. They warn us that, </w:t>
      </w:r>
      <w:r>
        <w:rPr>
          <w:rFonts w:ascii="Segoe UI" w:hAnsi="Segoe UI" w:cs="Segoe UI"/>
          <w:i/>
          <w:iCs/>
          <w:color w:val="222222"/>
          <w:sz w:val="27"/>
          <w:szCs w:val="27"/>
        </w:rPr>
        <w:t>within</w:t>
      </w:r>
      <w:r>
        <w:rPr>
          <w:rFonts w:ascii="Segoe UI" w:hAnsi="Segoe UI" w:cs="Segoe UI"/>
          <w:color w:val="222222"/>
          <w:sz w:val="27"/>
          <w:szCs w:val="27"/>
        </w:rPr>
        <w:t xml:space="preserve"> countries, the most disadvantaged segments of our societies will not benefit sufficiently from the Covid-19 vaccines, even as they become available to nations. Importantly, they can also provide us with guiding principles towards a more </w:t>
      </w:r>
      <w:r>
        <w:rPr>
          <w:rFonts w:ascii="Segoe UI" w:hAnsi="Segoe UI" w:cs="Segoe UI"/>
          <w:color w:val="222222"/>
          <w:sz w:val="27"/>
          <w:szCs w:val="27"/>
        </w:rPr>
        <w:lastRenderedPageBreak/>
        <w:t>equitable distribution of the vaccine. These theories have existed separately as explanations for the persisting inequalities in health in modern societies, and in this paper, we make an attempt to combine and synthesize them in the context of Covid-19 vaccine inequalities.</w:t>
      </w:r>
    </w:p>
    <w:p w:rsidR="00C22DE9" w:rsidRDefault="00C22DE9" w:rsidP="00C22DE9">
      <w:pPr>
        <w:pStyle w:val="Heading3"/>
        <w:shd w:val="clear" w:color="auto" w:fill="FFFFFF"/>
        <w:spacing w:before="0" w:after="120"/>
        <w:rPr>
          <w:rFonts w:ascii="Segoe UI" w:hAnsi="Segoe UI" w:cs="Segoe UI"/>
          <w:b w:val="0"/>
          <w:bCs w:val="0"/>
          <w:color w:val="222222"/>
          <w:sz w:val="27"/>
          <w:szCs w:val="27"/>
        </w:rPr>
      </w:pPr>
      <w:r>
        <w:rPr>
          <w:rFonts w:ascii="Segoe UI" w:hAnsi="Segoe UI" w:cs="Segoe UI"/>
          <w:b w:val="0"/>
          <w:bCs w:val="0"/>
          <w:color w:val="222222"/>
        </w:rPr>
        <w:t>Inequality and progress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There are numerous examples of how progress and the emergence of new knowledge and technology have not benefited population groups equally, but have rather contributed to increases in existing health inequalities. For example, prior to the Enlightenment, there was no health gradient between English aristocrats and ordinary citizens. However, a health gap between these groups quickly developed soon after ideas of sanitation and nutrition started to spread (Harris, </w:t>
      </w:r>
      <w:hyperlink r:id="rId29" w:anchor="ref-CR17" w:tooltip="Harris B (2004) Public health, nutrition, and the decline of mortality: The McKeown thesis revisited. Soc Hist Med 17:379–407. &#10;                  https://doi.org/10.1093/shm/17.3.379&#10;                  &#10;                " w:history="1">
        <w:r>
          <w:rPr>
            <w:rStyle w:val="Hyperlink"/>
            <w:rFonts w:ascii="Segoe UI" w:hAnsi="Segoe UI" w:cs="Segoe UI"/>
            <w:color w:val="006699"/>
            <w:sz w:val="27"/>
            <w:szCs w:val="27"/>
          </w:rPr>
          <w:t>2004</w:t>
        </w:r>
      </w:hyperlink>
      <w:r>
        <w:rPr>
          <w:rFonts w:ascii="Segoe UI" w:hAnsi="Segoe UI" w:cs="Segoe UI"/>
          <w:color w:val="222222"/>
          <w:sz w:val="27"/>
          <w:szCs w:val="27"/>
        </w:rPr>
        <w:t>). Similarly, a gap in infant mortality emerged between the children of physicians and those of non-physicians after the germ theory of disease was acknowledged in the nineteenth century (Cutler et al., </w:t>
      </w:r>
      <w:hyperlink r:id="rId30" w:anchor="ref-CR10" w:tooltip="Cutler D, Deaton A, Lleras-Muney A (2006) The determinants of mortality. J Econ Perspect 20(3):97–120" w:history="1">
        <w:r>
          <w:rPr>
            <w:rStyle w:val="Hyperlink"/>
            <w:rFonts w:ascii="Segoe UI" w:hAnsi="Segoe UI" w:cs="Segoe UI"/>
            <w:color w:val="006699"/>
            <w:sz w:val="27"/>
            <w:szCs w:val="27"/>
          </w:rPr>
          <w:t>2006</w:t>
        </w:r>
      </w:hyperlink>
      <w:r>
        <w:rPr>
          <w:rFonts w:ascii="Segoe UI" w:hAnsi="Segoe UI" w:cs="Segoe UI"/>
          <w:color w:val="222222"/>
          <w:sz w:val="27"/>
          <w:szCs w:val="27"/>
        </w:rPr>
        <w:t>). Likewise, during the latter half of the twentieth century, smoking went from being a high-status to a low-status habit; people of high social position had been the first to start smoking but were also the first to quit when knowledge of tobacco’s health damaging effects emerged (cf. (</w:t>
      </w:r>
      <w:proofErr w:type="spellStart"/>
      <w:r>
        <w:rPr>
          <w:rFonts w:ascii="Segoe UI" w:hAnsi="Segoe UI" w:cs="Segoe UI"/>
          <w:color w:val="222222"/>
          <w:sz w:val="27"/>
          <w:szCs w:val="27"/>
        </w:rPr>
        <w:t>Giskes</w:t>
      </w:r>
      <w:proofErr w:type="spellEnd"/>
      <w:r>
        <w:rPr>
          <w:rFonts w:ascii="Segoe UI" w:hAnsi="Segoe UI" w:cs="Segoe UI"/>
          <w:color w:val="222222"/>
          <w:sz w:val="27"/>
          <w:szCs w:val="27"/>
        </w:rPr>
        <w:t xml:space="preserve"> et al., </w:t>
      </w:r>
      <w:hyperlink r:id="rId31" w:anchor="ref-CR14" w:tooltip="Giskes K, Kunst AE, Benach J, Borrell C, Costa G, Dahl E, Dalstra JA, Federico B, Helmert U, Judge K (2005) Trends in smoking behaviour between 1985 and 2000 in nine European countries by education. J Epidemiol Commun Health 59(5):395–401" w:history="1">
        <w:r>
          <w:rPr>
            <w:rStyle w:val="Hyperlink"/>
            <w:rFonts w:ascii="Segoe UI" w:hAnsi="Segoe UI" w:cs="Segoe UI"/>
            <w:color w:val="006699"/>
            <w:sz w:val="27"/>
            <w:szCs w:val="27"/>
          </w:rPr>
          <w:t>2005</w:t>
        </w:r>
      </w:hyperlink>
      <w:r>
        <w:rPr>
          <w:rFonts w:ascii="Segoe UI" w:hAnsi="Segoe UI" w:cs="Segoe UI"/>
          <w:color w:val="222222"/>
          <w:sz w:val="27"/>
          <w:szCs w:val="27"/>
        </w:rPr>
        <w:t>)). Cross-country comparisons have also demonstrated that countries reach the new epidemiological phases at different paces, with different patterns of inequality marking each phase (cf. (</w:t>
      </w:r>
      <w:proofErr w:type="spellStart"/>
      <w:r>
        <w:rPr>
          <w:rFonts w:ascii="Segoe UI" w:hAnsi="Segoe UI" w:cs="Segoe UI"/>
          <w:color w:val="222222"/>
          <w:sz w:val="27"/>
          <w:szCs w:val="27"/>
        </w:rPr>
        <w:t>Pampel</w:t>
      </w:r>
      <w:proofErr w:type="spellEnd"/>
      <w:r>
        <w:rPr>
          <w:rFonts w:ascii="Segoe UI" w:hAnsi="Segoe UI" w:cs="Segoe UI"/>
          <w:color w:val="222222"/>
          <w:sz w:val="27"/>
          <w:szCs w:val="27"/>
        </w:rPr>
        <w:t>, </w:t>
      </w:r>
      <w:hyperlink r:id="rId32" w:anchor="ref-CR25" w:tooltip="Pampel FC (2002) Inequality, diffusion, and the status gradient in smoking. Soc Problems 49(1):35–57. &#10;                  https://doi.org/10.1525/sp.2002.49.1.35&#10;                  &#10;                " w:history="1">
        <w:r>
          <w:rPr>
            <w:rStyle w:val="Hyperlink"/>
            <w:rFonts w:ascii="Segoe UI" w:hAnsi="Segoe UI" w:cs="Segoe UI"/>
            <w:color w:val="006699"/>
            <w:sz w:val="27"/>
            <w:szCs w:val="27"/>
          </w:rPr>
          <w:t>2002</w:t>
        </w:r>
      </w:hyperlink>
      <w:r>
        <w:rPr>
          <w:rFonts w:ascii="Segoe UI" w:hAnsi="Segoe UI" w:cs="Segoe UI"/>
          <w:color w:val="222222"/>
          <w:sz w:val="27"/>
          <w:szCs w:val="27"/>
        </w:rPr>
        <w:t>)).</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However, it has also been argued that at a later stage, it is possible for this development to reach a point of saturation, where all socioeconomic groups benefit more equally, and inequality decreases (</w:t>
      </w:r>
      <w:proofErr w:type="spellStart"/>
      <w:r>
        <w:rPr>
          <w:rFonts w:ascii="Segoe UI" w:hAnsi="Segoe UI" w:cs="Segoe UI"/>
          <w:color w:val="222222"/>
          <w:sz w:val="27"/>
          <w:szCs w:val="27"/>
        </w:rPr>
        <w:t>Clouston</w:t>
      </w:r>
      <w:proofErr w:type="spellEnd"/>
      <w:r>
        <w:rPr>
          <w:rFonts w:ascii="Segoe UI" w:hAnsi="Segoe UI" w:cs="Segoe UI"/>
          <w:color w:val="222222"/>
          <w:sz w:val="27"/>
          <w:szCs w:val="27"/>
        </w:rPr>
        <w:t xml:space="preserve"> et al., </w:t>
      </w:r>
      <w:hyperlink r:id="rId33" w:anchor="ref-CR9" w:tooltip="Clouston SA, Rubin MS, Phelan JC, Link BG (2016) A social history of disease: contextualizing the rise and fall of social inequalities in cause-specific mortality. Demography 53(5):1631–1656" w:history="1">
        <w:r>
          <w:rPr>
            <w:rStyle w:val="Hyperlink"/>
            <w:rFonts w:ascii="Segoe UI" w:hAnsi="Segoe UI" w:cs="Segoe UI"/>
            <w:color w:val="006699"/>
            <w:sz w:val="27"/>
            <w:szCs w:val="27"/>
          </w:rPr>
          <w:t>2016</w:t>
        </w:r>
      </w:hyperlink>
      <w:r>
        <w:rPr>
          <w:rFonts w:ascii="Segoe UI" w:hAnsi="Segoe UI" w:cs="Segoe UI"/>
          <w:color w:val="222222"/>
          <w:sz w:val="27"/>
          <w:szCs w:val="27"/>
        </w:rPr>
        <w:t>). At the same time this transition can take years to achieve and is highly dependent on the policies adopted to address the initial inequalities.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The distribution of key health determinants, such as access to goods and services, healthcare and education is skewed between and within countries, disfavoring the most disadvantaged. Within countries, Covid-19 is therefore hitting societies unequally, with higher rates of infection and short- and long-term morbidity and mortality among the most disadvantaged groups, both in high-income and low-income countries (cf. (</w:t>
      </w:r>
      <w:proofErr w:type="spellStart"/>
      <w:r>
        <w:rPr>
          <w:rFonts w:ascii="Segoe UI" w:hAnsi="Segoe UI" w:cs="Segoe UI"/>
          <w:color w:val="222222"/>
          <w:sz w:val="27"/>
          <w:szCs w:val="27"/>
        </w:rPr>
        <w:t>Drefahl</w:t>
      </w:r>
      <w:proofErr w:type="spellEnd"/>
      <w:r>
        <w:rPr>
          <w:rFonts w:ascii="Segoe UI" w:hAnsi="Segoe UI" w:cs="Segoe UI"/>
          <w:color w:val="222222"/>
          <w:sz w:val="27"/>
          <w:szCs w:val="27"/>
        </w:rPr>
        <w:t>, </w:t>
      </w:r>
      <w:hyperlink r:id="rId34" w:anchor="ref-CR12" w:tooltip="Drefahl S (2020) A population-based cohort study of socio-demographic risk factors for COVID-19 deaths in Sweden. Nat Commun 11(1):1–7" w:history="1">
        <w:r>
          <w:rPr>
            <w:rStyle w:val="Hyperlink"/>
            <w:rFonts w:ascii="Segoe UI" w:hAnsi="Segoe UI" w:cs="Segoe UI"/>
            <w:color w:val="006699"/>
            <w:sz w:val="27"/>
            <w:szCs w:val="27"/>
          </w:rPr>
          <w:t>2020</w:t>
        </w:r>
      </w:hyperlink>
      <w:r>
        <w:rPr>
          <w:rFonts w:ascii="Segoe UI" w:hAnsi="Segoe UI" w:cs="Segoe UI"/>
          <w:color w:val="222222"/>
          <w:sz w:val="27"/>
          <w:szCs w:val="27"/>
        </w:rPr>
        <w:t xml:space="preserve">; </w:t>
      </w:r>
      <w:proofErr w:type="spellStart"/>
      <w:r>
        <w:rPr>
          <w:rFonts w:ascii="Segoe UI" w:hAnsi="Segoe UI" w:cs="Segoe UI"/>
          <w:color w:val="222222"/>
          <w:sz w:val="27"/>
          <w:szCs w:val="27"/>
        </w:rPr>
        <w:t>Gu</w:t>
      </w:r>
      <w:proofErr w:type="spellEnd"/>
      <w:r>
        <w:rPr>
          <w:rFonts w:ascii="Segoe UI" w:hAnsi="Segoe UI" w:cs="Segoe UI"/>
          <w:color w:val="222222"/>
          <w:sz w:val="27"/>
          <w:szCs w:val="27"/>
        </w:rPr>
        <w:t xml:space="preserve"> et al., </w:t>
      </w:r>
      <w:hyperlink r:id="rId35" w:anchor="ref-CR16" w:tooltip="Gu T, Mack JA, Salvatore M, Prabhu Sankar S, Valley TS, Singh K, Nallamothu BK, Kheterpal S, Lisabeth L, Fritsche LG, Mukherjee B (2020) Characteristics associated with racial/ethnic disparities in COVID-19 outcomes in an academic health care system. JAMA Network Open 3(10):e2025197–e2025197. &#10;                  https://doi.org/10.1001/jamanetworkopen.2020.25197&#10;                  &#10;                " w:history="1">
        <w:r>
          <w:rPr>
            <w:rStyle w:val="Hyperlink"/>
            <w:rFonts w:ascii="Segoe UI" w:hAnsi="Segoe UI" w:cs="Segoe UI"/>
            <w:color w:val="006699"/>
            <w:sz w:val="27"/>
            <w:szCs w:val="27"/>
          </w:rPr>
          <w:t>2020</w:t>
        </w:r>
      </w:hyperlink>
      <w:r>
        <w:rPr>
          <w:rFonts w:ascii="Segoe UI" w:hAnsi="Segoe UI" w:cs="Segoe UI"/>
          <w:color w:val="222222"/>
          <w:sz w:val="27"/>
          <w:szCs w:val="27"/>
        </w:rPr>
        <w:t xml:space="preserve">; </w:t>
      </w:r>
      <w:r>
        <w:rPr>
          <w:rFonts w:ascii="Segoe UI" w:hAnsi="Segoe UI" w:cs="Segoe UI"/>
          <w:color w:val="222222"/>
          <w:sz w:val="27"/>
          <w:szCs w:val="27"/>
        </w:rPr>
        <w:lastRenderedPageBreak/>
        <w:t>Price-Haywood et al., </w:t>
      </w:r>
      <w:hyperlink r:id="rId36" w:anchor="ref-CR26" w:tooltip="Price-Haywood EG, Burton J, Fort D, Seoane L (2020) Hospitalization and mortality among black patients and white patients with Covid-19. New Engl J Med 382(26):2534–2543. &#10;                  https://doi.org/10.1056/NEJMsa2011686&#10;                  &#10;                " w:history="1">
        <w:r>
          <w:rPr>
            <w:rStyle w:val="Hyperlink"/>
            <w:rFonts w:ascii="Segoe UI" w:hAnsi="Segoe UI" w:cs="Segoe UI"/>
            <w:color w:val="006699"/>
            <w:sz w:val="27"/>
            <w:szCs w:val="27"/>
          </w:rPr>
          <w:t>2020</w:t>
        </w:r>
      </w:hyperlink>
      <w:r>
        <w:rPr>
          <w:rFonts w:ascii="Segoe UI" w:hAnsi="Segoe UI" w:cs="Segoe UI"/>
          <w:color w:val="222222"/>
          <w:sz w:val="27"/>
          <w:szCs w:val="27"/>
        </w:rPr>
        <w:t xml:space="preserve">; Smith </w:t>
      </w:r>
      <w:proofErr w:type="spellStart"/>
      <w:r>
        <w:rPr>
          <w:rFonts w:ascii="Segoe UI" w:hAnsi="Segoe UI" w:cs="Segoe UI"/>
          <w:color w:val="222222"/>
          <w:sz w:val="27"/>
          <w:szCs w:val="27"/>
        </w:rPr>
        <w:t>Jervelund</w:t>
      </w:r>
      <w:proofErr w:type="spellEnd"/>
      <w:r>
        <w:rPr>
          <w:rFonts w:ascii="Segoe UI" w:hAnsi="Segoe UI" w:cs="Segoe UI"/>
          <w:color w:val="222222"/>
          <w:sz w:val="27"/>
          <w:szCs w:val="27"/>
        </w:rPr>
        <w:t xml:space="preserve"> &amp; </w:t>
      </w:r>
      <w:proofErr w:type="spellStart"/>
      <w:r>
        <w:rPr>
          <w:rFonts w:ascii="Segoe UI" w:hAnsi="Segoe UI" w:cs="Segoe UI"/>
          <w:color w:val="222222"/>
          <w:sz w:val="27"/>
          <w:szCs w:val="27"/>
        </w:rPr>
        <w:t>Eikemo</w:t>
      </w:r>
      <w:proofErr w:type="spellEnd"/>
      <w:r>
        <w:rPr>
          <w:rFonts w:ascii="Segoe UI" w:hAnsi="Segoe UI" w:cs="Segoe UI"/>
          <w:color w:val="222222"/>
          <w:sz w:val="27"/>
          <w:szCs w:val="27"/>
        </w:rPr>
        <w:t>, </w:t>
      </w:r>
      <w:hyperlink r:id="rId37" w:anchor="ref-CR29" w:tooltip="Smith Jervelund S, Eikemo TA (2021) The double burden of COVID-19. Scand J Public Health 49(1):1–4. &#10;                  https://doi.org/10.1177/1403494820984702&#10;                  &#10;                " w:history="1">
        <w:r>
          <w:rPr>
            <w:rStyle w:val="Hyperlink"/>
            <w:rFonts w:ascii="Segoe UI" w:hAnsi="Segoe UI" w:cs="Segoe UI"/>
            <w:color w:val="006699"/>
            <w:sz w:val="27"/>
            <w:szCs w:val="27"/>
          </w:rPr>
          <w:t>2021</w:t>
        </w:r>
      </w:hyperlink>
      <w:r>
        <w:rPr>
          <w:rFonts w:ascii="Segoe UI" w:hAnsi="Segoe UI" w:cs="Segoe UI"/>
          <w:color w:val="222222"/>
          <w:sz w:val="27"/>
          <w:szCs w:val="27"/>
        </w:rPr>
        <w:t>; Williamson et al., </w:t>
      </w:r>
      <w:hyperlink r:id="rId38" w:anchor="ref-CR34" w:tooltip="Williamson EJ, Walker AJ, Bhaskaran K, Bacon S, Bates C, Morton CE, Curtis HJ, Mehrkar A, Evans D, Inglesby P, Cockburn J, McDonald HI, MacKenna B, Tomlinson L, Douglas IJ, Rentsch CT, Mathur R, Wong AYS, Grieve R, Goldacre B (2020) Factors associated with COVID-19-related death using OpenSAFELY. Nature 584(7821):430–436. &#10;                  https://doi.org/10.1038/s41586-020-2521-4&#10;                  &#10;                " w:history="1">
        <w:r>
          <w:rPr>
            <w:rStyle w:val="Hyperlink"/>
            <w:rFonts w:ascii="Segoe UI" w:hAnsi="Segoe UI" w:cs="Segoe UI"/>
            <w:color w:val="006699"/>
            <w:sz w:val="27"/>
            <w:szCs w:val="27"/>
          </w:rPr>
          <w:t>2020</w:t>
        </w:r>
      </w:hyperlink>
      <w:r>
        <w:rPr>
          <w:rFonts w:ascii="Segoe UI" w:hAnsi="Segoe UI" w:cs="Segoe UI"/>
          <w:color w:val="222222"/>
          <w:sz w:val="27"/>
          <w:szCs w:val="27"/>
        </w:rPr>
        <w:t>)). We are thus experiencing a </w:t>
      </w:r>
      <w:proofErr w:type="spellStart"/>
      <w:r>
        <w:rPr>
          <w:rFonts w:ascii="Segoe UI" w:hAnsi="Segoe UI" w:cs="Segoe UI"/>
          <w:i/>
          <w:iCs/>
          <w:color w:val="222222"/>
          <w:sz w:val="27"/>
          <w:szCs w:val="27"/>
        </w:rPr>
        <w:t>syndemic</w:t>
      </w:r>
      <w:proofErr w:type="spellEnd"/>
      <w:r>
        <w:rPr>
          <w:rFonts w:ascii="Segoe UI" w:hAnsi="Segoe UI" w:cs="Segoe UI"/>
          <w:i/>
          <w:iCs/>
          <w:color w:val="222222"/>
          <w:sz w:val="27"/>
          <w:szCs w:val="27"/>
        </w:rPr>
        <w:t xml:space="preserve"> pandemic</w:t>
      </w:r>
      <w:r>
        <w:rPr>
          <w:rFonts w:ascii="Segoe UI" w:hAnsi="Segoe UI" w:cs="Segoe UI"/>
          <w:color w:val="222222"/>
          <w:sz w:val="27"/>
          <w:szCs w:val="27"/>
        </w:rPr>
        <w:t>, as the virus interacts with existing social inequalities in disease and the social determinants of health (</w:t>
      </w:r>
      <w:proofErr w:type="spellStart"/>
      <w:r>
        <w:rPr>
          <w:rFonts w:ascii="Segoe UI" w:hAnsi="Segoe UI" w:cs="Segoe UI"/>
          <w:color w:val="222222"/>
          <w:sz w:val="27"/>
          <w:szCs w:val="27"/>
        </w:rPr>
        <w:t>Bambra</w:t>
      </w:r>
      <w:proofErr w:type="spellEnd"/>
      <w:r>
        <w:rPr>
          <w:rFonts w:ascii="Segoe UI" w:hAnsi="Segoe UI" w:cs="Segoe UI"/>
          <w:color w:val="222222"/>
          <w:sz w:val="27"/>
          <w:szCs w:val="27"/>
        </w:rPr>
        <w:t xml:space="preserve"> et al., </w:t>
      </w:r>
      <w:hyperlink r:id="rId39" w:anchor="ref-CR2" w:tooltip="Bambra C, Riordan R, Ford J, Matthews F (2020) The COVID-19 pandemic and health inequalities. J Epidemiol Community Health. &#10;                  https://doi.org/10.1136/jech-2020-214401&#10;                  &#10;                " w:history="1">
        <w:r>
          <w:rPr>
            <w:rStyle w:val="Hyperlink"/>
            <w:rFonts w:ascii="Segoe UI" w:hAnsi="Segoe UI" w:cs="Segoe UI"/>
            <w:color w:val="006699"/>
            <w:sz w:val="27"/>
            <w:szCs w:val="27"/>
          </w:rPr>
          <w:t>2020</w:t>
        </w:r>
      </w:hyperlink>
      <w:r>
        <w:rPr>
          <w:rFonts w:ascii="Segoe UI" w:hAnsi="Segoe UI" w:cs="Segoe UI"/>
          <w:color w:val="222222"/>
          <w:sz w:val="27"/>
          <w:szCs w:val="27"/>
        </w:rPr>
        <w:t>). In all pandemics, socially marginalized groups are at higher risk of </w:t>
      </w:r>
      <w:r>
        <w:rPr>
          <w:rFonts w:ascii="Segoe UI" w:hAnsi="Segoe UI" w:cs="Segoe UI"/>
          <w:i/>
          <w:iCs/>
          <w:color w:val="222222"/>
          <w:sz w:val="27"/>
          <w:szCs w:val="27"/>
        </w:rPr>
        <w:t>exposure</w:t>
      </w:r>
      <w:r>
        <w:rPr>
          <w:rFonts w:ascii="Segoe UI" w:hAnsi="Segoe UI" w:cs="Segoe UI"/>
          <w:color w:val="222222"/>
          <w:sz w:val="27"/>
          <w:szCs w:val="27"/>
        </w:rPr>
        <w:t xml:space="preserve"> to the virus, e.g., due to a demand for physical presence at work and inability to avoid public transportation. </w:t>
      </w:r>
      <w:proofErr w:type="gramStart"/>
      <w:r>
        <w:rPr>
          <w:rFonts w:ascii="Segoe UI" w:hAnsi="Segoe UI" w:cs="Segoe UI"/>
          <w:color w:val="222222"/>
          <w:sz w:val="27"/>
          <w:szCs w:val="27"/>
        </w:rPr>
        <w:t>Once exposed, they are more </w:t>
      </w:r>
      <w:r>
        <w:rPr>
          <w:rFonts w:ascii="Segoe UI" w:hAnsi="Segoe UI" w:cs="Segoe UI"/>
          <w:i/>
          <w:iCs/>
          <w:color w:val="222222"/>
          <w:sz w:val="27"/>
          <w:szCs w:val="27"/>
        </w:rPr>
        <w:t>susceptible</w:t>
      </w:r>
      <w:r>
        <w:rPr>
          <w:rFonts w:ascii="Segoe UI" w:hAnsi="Segoe UI" w:cs="Segoe UI"/>
          <w:color w:val="222222"/>
          <w:sz w:val="27"/>
          <w:szCs w:val="27"/>
        </w:rPr>
        <w:t> and their disease is more </w:t>
      </w:r>
      <w:r>
        <w:rPr>
          <w:rFonts w:ascii="Segoe UI" w:hAnsi="Segoe UI" w:cs="Segoe UI"/>
          <w:i/>
          <w:iCs/>
          <w:color w:val="222222"/>
          <w:sz w:val="27"/>
          <w:szCs w:val="27"/>
        </w:rPr>
        <w:t>severe</w:t>
      </w:r>
      <w:r>
        <w:rPr>
          <w:rFonts w:ascii="Segoe UI" w:hAnsi="Segoe UI" w:cs="Segoe UI"/>
          <w:color w:val="222222"/>
          <w:sz w:val="27"/>
          <w:szCs w:val="27"/>
        </w:rPr>
        <w:t>, e.g., due to previous chronic conditions and healthcare availability.</w:t>
      </w:r>
      <w:proofErr w:type="gramEnd"/>
      <w:r>
        <w:rPr>
          <w:rFonts w:ascii="Segoe UI" w:hAnsi="Segoe UI" w:cs="Segoe UI"/>
          <w:color w:val="222222"/>
          <w:sz w:val="27"/>
          <w:szCs w:val="27"/>
        </w:rPr>
        <w:t xml:space="preserve"> Finally, they are hit harder by the social and economic consequences of the pandemic, e.g., due to precarious employment. This means that unless we are able to provide vaccines to the most disadvantaged populations first, health inequalities will continue to increase. While these mechanisms are at play within countries, we have seen less evidence of a traditional socioeconomic gradient between countries in the infection and mortality rates of Covid-19. However, between-country inequality is very likely to occur for other pandemic-related consequences, such as overburdening of the healthcare services and financial recovery from the consequences of lockdown and various non-pharmaceutical interventions. Finally, an unequal distribution of vaccines may interact with all of the above, reproducing and strengthening existing health and socioeconomic disparities.</w:t>
      </w:r>
    </w:p>
    <w:p w:rsidR="00C22DE9" w:rsidRDefault="00C22DE9" w:rsidP="00C22DE9">
      <w:pPr>
        <w:pStyle w:val="Heading3"/>
        <w:shd w:val="clear" w:color="auto" w:fill="FFFFFF"/>
        <w:spacing w:before="0" w:after="120"/>
        <w:rPr>
          <w:rFonts w:ascii="Segoe UI" w:hAnsi="Segoe UI" w:cs="Segoe UI"/>
          <w:b w:val="0"/>
          <w:bCs w:val="0"/>
          <w:color w:val="222222"/>
          <w:sz w:val="27"/>
          <w:szCs w:val="27"/>
        </w:rPr>
      </w:pPr>
      <w:r>
        <w:rPr>
          <w:rFonts w:ascii="Segoe UI" w:hAnsi="Segoe UI" w:cs="Segoe UI"/>
          <w:b w:val="0"/>
          <w:bCs w:val="0"/>
          <w:color w:val="222222"/>
        </w:rPr>
        <w:t>The theories of fundamental causes and diffusion of innovations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The theory of social conditions as the fundamental cause of disease seeks to explain health inequalities by looking upstream, beyond the proximate causes of risk and disease, to a fundamental set of causes that place individuals at risk of risk (Link &amp; Phelan, </w:t>
      </w:r>
      <w:hyperlink r:id="rId40" w:anchor="ref-CR20" w:tooltip="Link BG, Phelan J (1995) Social conditions as fundamental causes of disease J Health Soc Behav 35:80–94" w:history="1">
        <w:r>
          <w:rPr>
            <w:rStyle w:val="Hyperlink"/>
            <w:rFonts w:ascii="Segoe UI" w:hAnsi="Segoe UI" w:cs="Segoe UI"/>
            <w:color w:val="006699"/>
            <w:sz w:val="27"/>
            <w:szCs w:val="27"/>
          </w:rPr>
          <w:t>1995</w:t>
        </w:r>
      </w:hyperlink>
      <w:r>
        <w:rPr>
          <w:rFonts w:ascii="Segoe UI" w:hAnsi="Segoe UI" w:cs="Segoe UI"/>
          <w:color w:val="222222"/>
          <w:sz w:val="27"/>
          <w:szCs w:val="27"/>
        </w:rPr>
        <w:t>). The origins of this theory are in sociology and social epidemiology where the concept was named “fundamental causes” and the key characteristics of the theory codified in a 1995 publication by Link and Phelan. The theory has been further developed by many additional scholars who have elaborated, extended or tested the theory sometimes even creating new concepts that have become part of the theory (See (</w:t>
      </w:r>
      <w:proofErr w:type="spellStart"/>
      <w:r>
        <w:rPr>
          <w:rFonts w:ascii="Segoe UI" w:hAnsi="Segoe UI" w:cs="Segoe UI"/>
          <w:color w:val="222222"/>
          <w:sz w:val="27"/>
          <w:szCs w:val="27"/>
        </w:rPr>
        <w:t>Clouston</w:t>
      </w:r>
      <w:proofErr w:type="spellEnd"/>
      <w:r>
        <w:rPr>
          <w:rFonts w:ascii="Segoe UI" w:hAnsi="Segoe UI" w:cs="Segoe UI"/>
          <w:color w:val="222222"/>
          <w:sz w:val="27"/>
          <w:szCs w:val="27"/>
        </w:rPr>
        <w:t xml:space="preserve"> &amp; Link, </w:t>
      </w:r>
      <w:hyperlink r:id="rId41" w:anchor="ref-CR8" w:tooltip="Clouston SA, Link BG (2021) A retrospective on fundamental cause theory: state of the literature and goals for the future Ann Rev Sociol 47:131–156" w:history="1">
        <w:r>
          <w:rPr>
            <w:rStyle w:val="Hyperlink"/>
            <w:rFonts w:ascii="Segoe UI" w:hAnsi="Segoe UI" w:cs="Segoe UI"/>
            <w:color w:val="006699"/>
            <w:sz w:val="27"/>
            <w:szCs w:val="27"/>
          </w:rPr>
          <w:t>2021</w:t>
        </w:r>
      </w:hyperlink>
      <w:r>
        <w:rPr>
          <w:rFonts w:ascii="Segoe UI" w:hAnsi="Segoe UI" w:cs="Segoe UI"/>
          <w:color w:val="222222"/>
          <w:sz w:val="27"/>
          <w:szCs w:val="27"/>
        </w:rPr>
        <w:t xml:space="preserve">) for a recent review of the theory’s development). Central to the theory is that as contexts change, over time or between countries, new mechanisms are triggered, which reproduce the association between a fundamental cause and disease. An example is how the lower social strata in </w:t>
      </w:r>
      <w:r>
        <w:rPr>
          <w:rFonts w:ascii="Segoe UI" w:hAnsi="Segoe UI" w:cs="Segoe UI"/>
          <w:color w:val="222222"/>
          <w:sz w:val="27"/>
          <w:szCs w:val="27"/>
        </w:rPr>
        <w:lastRenderedPageBreak/>
        <w:t xml:space="preserve">prior decades led shorter lives due to diseases like diphtheria and tuberculosis, which could be traced back to poorer housing and working conditions. Such diseases have been nearby eradicated by medical advances and public health initiatives. However, inequalities in disease and death remain, now represented by diseases that previously did not have a social gradient, such as cardiovascular disease and lung cancer. A key concept within this theory is flexible resources—knowledge, money, power, prestige and beneficial social connections—which are unequally distributed and beneficial in many contexts. They function as means of achieving health goals through health-directed human agency. This </w:t>
      </w:r>
      <w:proofErr w:type="spellStart"/>
      <w:r>
        <w:rPr>
          <w:rFonts w:ascii="Segoe UI" w:hAnsi="Segoe UI" w:cs="Segoe UI"/>
          <w:color w:val="222222"/>
          <w:sz w:val="27"/>
          <w:szCs w:val="27"/>
        </w:rPr>
        <w:t>agentic</w:t>
      </w:r>
      <w:proofErr w:type="spellEnd"/>
      <w:r>
        <w:rPr>
          <w:rFonts w:ascii="Segoe UI" w:hAnsi="Segoe UI" w:cs="Segoe UI"/>
          <w:color w:val="222222"/>
          <w:sz w:val="27"/>
          <w:szCs w:val="27"/>
        </w:rPr>
        <w:t xml:space="preserve"> action can operate at the individual level as people use flexible resources to access circumstances beneficial to their health, whether that be a beneficial immunization or access to a neighborhood that facilitates healthy living. It can also operate at the contextual level through “collective agency” (</w:t>
      </w:r>
      <w:proofErr w:type="spellStart"/>
      <w:r>
        <w:rPr>
          <w:rFonts w:ascii="Segoe UI" w:hAnsi="Segoe UI" w:cs="Segoe UI"/>
          <w:color w:val="222222"/>
          <w:sz w:val="27"/>
          <w:szCs w:val="27"/>
        </w:rPr>
        <w:t>Clouston</w:t>
      </w:r>
      <w:proofErr w:type="spellEnd"/>
      <w:r>
        <w:rPr>
          <w:rFonts w:ascii="Segoe UI" w:hAnsi="Segoe UI" w:cs="Segoe UI"/>
          <w:color w:val="222222"/>
          <w:sz w:val="27"/>
          <w:szCs w:val="27"/>
        </w:rPr>
        <w:t xml:space="preserve"> &amp; Link, </w:t>
      </w:r>
      <w:hyperlink r:id="rId42" w:anchor="ref-CR8" w:tooltip="Clouston SA, Link BG (2021) A retrospective on fundamental cause theory: state of the literature and goals for the future Ann Rev Sociol 47:131–156" w:history="1">
        <w:r>
          <w:rPr>
            <w:rStyle w:val="Hyperlink"/>
            <w:rFonts w:ascii="Segoe UI" w:hAnsi="Segoe UI" w:cs="Segoe UI"/>
            <w:color w:val="006699"/>
            <w:sz w:val="27"/>
            <w:szCs w:val="27"/>
          </w:rPr>
          <w:t>2021</w:t>
        </w:r>
      </w:hyperlink>
      <w:r>
        <w:rPr>
          <w:rFonts w:ascii="Segoe UI" w:hAnsi="Segoe UI" w:cs="Segoe UI"/>
          <w:color w:val="222222"/>
          <w:sz w:val="27"/>
          <w:szCs w:val="27"/>
        </w:rPr>
        <w:t>) in which hospitals, schools, work sites or communities use their relative resources to ensure the context they serve achieves the best health circumstances possible. The flexible nature of the resources, in turn, ensures that they can be beneficial in health-relevant circumstances that are diverse with respect to diseases and risk and protective actors for those diseases.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The </w:t>
      </w:r>
      <w:r>
        <w:rPr>
          <w:rFonts w:ascii="Segoe UI" w:hAnsi="Segoe UI" w:cs="Segoe UI"/>
          <w:i/>
          <w:iCs/>
          <w:color w:val="222222"/>
          <w:sz w:val="27"/>
          <w:szCs w:val="27"/>
        </w:rPr>
        <w:t>diffusion of innovations</w:t>
      </w:r>
      <w:r>
        <w:rPr>
          <w:rFonts w:ascii="Segoe UI" w:hAnsi="Segoe UI" w:cs="Segoe UI"/>
          <w:color w:val="222222"/>
          <w:sz w:val="27"/>
          <w:szCs w:val="27"/>
        </w:rPr>
        <w:t> theory is, on the other hand, very useful to explain how innovations are adopted by actors in a social system. Its application has included a vast array of innovations; the diffusion of hybrid corn to farms as well as beta-blockers to hypertension patients. The framework was first formulated in 1962 by Everett Rogers (Rogers, </w:t>
      </w:r>
      <w:hyperlink r:id="rId43" w:anchor="ref-CR27" w:tooltip="Rogers EM (2010) Diffusion of innovations. Simon and Schuster" w:history="1">
        <w:r>
          <w:rPr>
            <w:rStyle w:val="Hyperlink"/>
            <w:rFonts w:ascii="Segoe UI" w:hAnsi="Segoe UI" w:cs="Segoe UI"/>
            <w:color w:val="006699"/>
            <w:sz w:val="27"/>
            <w:szCs w:val="27"/>
          </w:rPr>
          <w:t>2010</w:t>
        </w:r>
      </w:hyperlink>
      <w:r>
        <w:rPr>
          <w:rFonts w:ascii="Segoe UI" w:hAnsi="Segoe UI" w:cs="Segoe UI"/>
          <w:color w:val="222222"/>
          <w:sz w:val="27"/>
          <w:szCs w:val="27"/>
        </w:rPr>
        <w:t>). He built on decades of innovation and communication research when he developed concepts describing the different phases and actors in a diffusion process, such as communication channels, early adopters, early and late majority, and laggards.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The distribution and rate of adoption has often been illustrated as an s-curve, where the majority of a population adopts an innovation during the middle stages of the diffusion process, with early adopters and laggards making up the outliers. With regards to health and inequalities, this strand of research has focused on how medical innovations and new knowledge is hierarchically diffused across social segments, with inequalities in outcomes as a result.</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lastRenderedPageBreak/>
        <w:t>One of the fundamental cause theory’s strengths is its ability to explain the persistence of inequalities. Systematic social inequalities in health in the face of rapid social, medical, and technological progress have by many been labeled “ironic” or “paradoxical”. The fundamental cause theory turns this ironic connection into a causal relation: health inequalities persist not despite but because of these developments. This occurs because people who are propitiously situated with respect to flexible resources are better able to access and benefit from the new knowledge or technology thereby creating a new health inequality.</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The diffusion of innovations on the other hand, is a theory more oriented towards change—how and why new technologies, knowledge and ideas spread over time. Integrating these two theories involve viewing the diffusion of health-beneficial innovations as fundamentally influenced by social conditions (Zapata-</w:t>
      </w:r>
      <w:proofErr w:type="spellStart"/>
      <w:r>
        <w:rPr>
          <w:rFonts w:ascii="Segoe UI" w:hAnsi="Segoe UI" w:cs="Segoe UI"/>
          <w:color w:val="222222"/>
          <w:sz w:val="27"/>
          <w:szCs w:val="27"/>
        </w:rPr>
        <w:t>Moya</w:t>
      </w:r>
      <w:proofErr w:type="spellEnd"/>
      <w:r>
        <w:rPr>
          <w:rFonts w:ascii="Segoe UI" w:hAnsi="Segoe UI" w:cs="Segoe UI"/>
          <w:color w:val="222222"/>
          <w:sz w:val="27"/>
          <w:szCs w:val="27"/>
        </w:rPr>
        <w:t xml:space="preserve"> et al., </w:t>
      </w:r>
      <w:hyperlink r:id="rId44" w:anchor="ref-CR35" w:tooltip="Zapata-Moya ÁR, Willems B, Bracke P (2019) The (re) production of health inequalities through the process of disseminating preventive innovations: the dynamic influence of socioeconomic status. Health Sociol Rev 28(2):177–193" w:history="1">
        <w:r>
          <w:rPr>
            <w:rStyle w:val="Hyperlink"/>
            <w:rFonts w:ascii="Segoe UI" w:hAnsi="Segoe UI" w:cs="Segoe UI"/>
            <w:color w:val="006699"/>
            <w:sz w:val="27"/>
            <w:szCs w:val="27"/>
          </w:rPr>
          <w:t>2019</w:t>
        </w:r>
      </w:hyperlink>
      <w:r>
        <w:rPr>
          <w:rFonts w:ascii="Segoe UI" w:hAnsi="Segoe UI" w:cs="Segoe UI"/>
          <w:color w:val="222222"/>
          <w:sz w:val="27"/>
          <w:szCs w:val="27"/>
        </w:rPr>
        <w:t>). Diffusion can thus act as a mechanism in the fundamental cause framework, where individuals, regions and countries’ benefit from medical and technological progress will be influenced by their position in the social hierarchy as well as the diffusion of relevant and beneficial innovations. It has been argued that with this integration of theories, diffusion process provides an inequality-generating mechanism to the fundamental cause theory, which can be repeated over time as new technologies and knowledge becomes available, thus contributing to enduring health inequalities (Zapata-</w:t>
      </w:r>
      <w:proofErr w:type="spellStart"/>
      <w:r>
        <w:rPr>
          <w:rFonts w:ascii="Segoe UI" w:hAnsi="Segoe UI" w:cs="Segoe UI"/>
          <w:color w:val="222222"/>
          <w:sz w:val="27"/>
          <w:szCs w:val="27"/>
        </w:rPr>
        <w:t>Moya</w:t>
      </w:r>
      <w:proofErr w:type="spellEnd"/>
      <w:r>
        <w:rPr>
          <w:rFonts w:ascii="Segoe UI" w:hAnsi="Segoe UI" w:cs="Segoe UI"/>
          <w:color w:val="222222"/>
          <w:sz w:val="27"/>
          <w:szCs w:val="27"/>
        </w:rPr>
        <w:t xml:space="preserve"> et al., </w:t>
      </w:r>
      <w:hyperlink r:id="rId45" w:anchor="ref-CR35" w:tooltip="Zapata-Moya ÁR, Willems B, Bracke P (2019) The (re) production of health inequalities through the process of disseminating preventive innovations: the dynamic influence of socioeconomic status. Health Sociol Rev 28(2):177–193" w:history="1">
        <w:r>
          <w:rPr>
            <w:rStyle w:val="Hyperlink"/>
            <w:rFonts w:ascii="Segoe UI" w:hAnsi="Segoe UI" w:cs="Segoe UI"/>
            <w:color w:val="006699"/>
            <w:sz w:val="27"/>
            <w:szCs w:val="27"/>
          </w:rPr>
          <w:t>2019</w:t>
        </w:r>
      </w:hyperlink>
      <w:r>
        <w:rPr>
          <w:rFonts w:ascii="Segoe UI" w:hAnsi="Segoe UI" w:cs="Segoe UI"/>
          <w:color w:val="222222"/>
          <w:sz w:val="27"/>
          <w:szCs w:val="27"/>
        </w:rPr>
        <w:t>). Figure </w:t>
      </w:r>
      <w:hyperlink r:id="rId46" w:anchor="Fig2" w:history="1">
        <w:r>
          <w:rPr>
            <w:rStyle w:val="Hyperlink"/>
            <w:rFonts w:ascii="Segoe UI" w:hAnsi="Segoe UI" w:cs="Segoe UI"/>
            <w:color w:val="006699"/>
            <w:sz w:val="27"/>
            <w:szCs w:val="27"/>
          </w:rPr>
          <w:t>2</w:t>
        </w:r>
      </w:hyperlink>
      <w:r>
        <w:rPr>
          <w:rFonts w:ascii="Segoe UI" w:hAnsi="Segoe UI" w:cs="Segoe UI"/>
          <w:color w:val="222222"/>
          <w:sz w:val="27"/>
          <w:szCs w:val="27"/>
        </w:rPr>
        <w:t> illustrates how these theoretical perspectives can draw on one another. The </w:t>
      </w:r>
      <w:r>
        <w:rPr>
          <w:rFonts w:ascii="Segoe UI" w:hAnsi="Segoe UI" w:cs="Segoe UI"/>
          <w:i/>
          <w:iCs/>
          <w:color w:val="222222"/>
          <w:sz w:val="27"/>
          <w:szCs w:val="27"/>
        </w:rPr>
        <w:t>x</w:t>
      </w:r>
      <w:r>
        <w:rPr>
          <w:rFonts w:ascii="Segoe UI" w:hAnsi="Segoe UI" w:cs="Segoe UI"/>
          <w:color w:val="222222"/>
          <w:sz w:val="27"/>
          <w:szCs w:val="27"/>
        </w:rPr>
        <w:t>-axis displays time from the introduction of an innovation. The dotted line illustrates the rate of uptake across adopter categories, which can be read on the left </w:t>
      </w:r>
      <w:r>
        <w:rPr>
          <w:rFonts w:ascii="Segoe UI" w:hAnsi="Segoe UI" w:cs="Segoe UI"/>
          <w:i/>
          <w:iCs/>
          <w:color w:val="222222"/>
          <w:sz w:val="27"/>
          <w:szCs w:val="27"/>
        </w:rPr>
        <w:t>y</w:t>
      </w:r>
      <w:r>
        <w:rPr>
          <w:rFonts w:ascii="Segoe UI" w:hAnsi="Segoe UI" w:cs="Segoe UI"/>
          <w:color w:val="222222"/>
          <w:sz w:val="27"/>
          <w:szCs w:val="27"/>
        </w:rPr>
        <w:t>-axis. The solid line illustrates the rise and fall of inequality in use, which can be read on the right </w:t>
      </w:r>
      <w:r>
        <w:rPr>
          <w:rFonts w:ascii="Segoe UI" w:hAnsi="Segoe UI" w:cs="Segoe UI"/>
          <w:i/>
          <w:iCs/>
          <w:color w:val="222222"/>
          <w:sz w:val="27"/>
          <w:szCs w:val="27"/>
        </w:rPr>
        <w:t>y-</w:t>
      </w:r>
      <w:r>
        <w:rPr>
          <w:rFonts w:ascii="Segoe UI" w:hAnsi="Segoe UI" w:cs="Segoe UI"/>
          <w:color w:val="222222"/>
          <w:sz w:val="27"/>
          <w:szCs w:val="27"/>
        </w:rPr>
        <w:t xml:space="preserve">axis. This stylized figure—with an inverted U-shape that is similar to the well-known Kuznets curve—illustrates that inequality rises in the early stages of diffusion but falls as the early and late majority adopt the innovation. Thus, the relationship between the diffusion of an innovation and social inequality is first positive, then negative. Empirical research suggests that the social gradients in use and access are steeper for medical technologies in an early stage of diffusion, and that this pattern also is manifested as inequality in </w:t>
      </w:r>
      <w:r>
        <w:rPr>
          <w:rFonts w:ascii="Segoe UI" w:hAnsi="Segoe UI" w:cs="Segoe UI"/>
          <w:color w:val="222222"/>
          <w:sz w:val="27"/>
          <w:szCs w:val="27"/>
        </w:rPr>
        <w:lastRenderedPageBreak/>
        <w:t>health outcomes (</w:t>
      </w:r>
      <w:proofErr w:type="spellStart"/>
      <w:r>
        <w:rPr>
          <w:rFonts w:ascii="Segoe UI" w:hAnsi="Segoe UI" w:cs="Segoe UI"/>
          <w:color w:val="222222"/>
          <w:sz w:val="27"/>
          <w:szCs w:val="27"/>
        </w:rPr>
        <w:t>Glied</w:t>
      </w:r>
      <w:proofErr w:type="spellEnd"/>
      <w:r>
        <w:rPr>
          <w:rFonts w:ascii="Segoe UI" w:hAnsi="Segoe UI" w:cs="Segoe UI"/>
          <w:color w:val="222222"/>
          <w:sz w:val="27"/>
          <w:szCs w:val="27"/>
        </w:rPr>
        <w:t xml:space="preserve"> &amp; </w:t>
      </w:r>
      <w:proofErr w:type="spellStart"/>
      <w:r>
        <w:rPr>
          <w:rFonts w:ascii="Segoe UI" w:hAnsi="Segoe UI" w:cs="Segoe UI"/>
          <w:color w:val="222222"/>
          <w:sz w:val="27"/>
          <w:szCs w:val="27"/>
        </w:rPr>
        <w:t>Lleras-Muney</w:t>
      </w:r>
      <w:proofErr w:type="spellEnd"/>
      <w:r>
        <w:rPr>
          <w:rFonts w:ascii="Segoe UI" w:hAnsi="Segoe UI" w:cs="Segoe UI"/>
          <w:color w:val="222222"/>
          <w:sz w:val="27"/>
          <w:szCs w:val="27"/>
        </w:rPr>
        <w:t>, </w:t>
      </w:r>
      <w:hyperlink r:id="rId47" w:anchor="ref-CR15" w:tooltip="Glied S, Lleras-Muney A (2008) Technological innovation and inequality in health. Demography 45(3):741–761" w:history="1">
        <w:r>
          <w:rPr>
            <w:rStyle w:val="Hyperlink"/>
            <w:rFonts w:ascii="Segoe UI" w:hAnsi="Segoe UI" w:cs="Segoe UI"/>
            <w:color w:val="006699"/>
            <w:sz w:val="27"/>
            <w:szCs w:val="27"/>
          </w:rPr>
          <w:t>2008</w:t>
        </w:r>
      </w:hyperlink>
      <w:r>
        <w:rPr>
          <w:rFonts w:ascii="Segoe UI" w:hAnsi="Segoe UI" w:cs="Segoe UI"/>
          <w:color w:val="222222"/>
          <w:sz w:val="27"/>
          <w:szCs w:val="27"/>
        </w:rPr>
        <w:t>; Wang et al., </w:t>
      </w:r>
      <w:hyperlink r:id="rId48" w:anchor="ref-CR31" w:tooltip="Wang A, Clouston SAP, Rubin MS, Colen CG, Link BG (2012) Fundamental causes of colorectal cancer mortality: the implications of informational diffusion. Milbank Quar 90(3):592–618. &#10;                  https://doi.org/10.1111/j.1468-0009.2012.00675.x&#10;                  &#10;                " w:history="1">
        <w:r>
          <w:rPr>
            <w:rStyle w:val="Hyperlink"/>
            <w:rFonts w:ascii="Segoe UI" w:hAnsi="Segoe UI" w:cs="Segoe UI"/>
            <w:color w:val="006699"/>
            <w:sz w:val="27"/>
            <w:szCs w:val="27"/>
          </w:rPr>
          <w:t>2012</w:t>
        </w:r>
      </w:hyperlink>
      <w:r>
        <w:rPr>
          <w:rFonts w:ascii="Segoe UI" w:hAnsi="Segoe UI" w:cs="Segoe UI"/>
          <w:color w:val="222222"/>
          <w:sz w:val="27"/>
          <w:szCs w:val="27"/>
        </w:rPr>
        <w:t>; Weiss et al., </w:t>
      </w:r>
      <w:hyperlink r:id="rId49" w:anchor="ref-CR32" w:tooltip="Weiss D, Sund ER, Freese J, Krokstad S (2020) The diffusion of innovative diabetes technologies as a fundamental cause of social inequalities in health. The Nord‐Trøndelag Health Study, Norway. Sociol Health Illness 42(7):1548–1565" w:history="1">
        <w:r>
          <w:rPr>
            <w:rStyle w:val="Hyperlink"/>
            <w:rFonts w:ascii="Segoe UI" w:hAnsi="Segoe UI" w:cs="Segoe UI"/>
            <w:color w:val="006699"/>
            <w:sz w:val="27"/>
            <w:szCs w:val="27"/>
          </w:rPr>
          <w:t>2020</w:t>
        </w:r>
      </w:hyperlink>
      <w:r>
        <w:rPr>
          <w:rFonts w:ascii="Segoe UI" w:hAnsi="Segoe UI" w:cs="Segoe UI"/>
          <w:color w:val="222222"/>
          <w:sz w:val="27"/>
          <w:szCs w:val="27"/>
        </w:rPr>
        <w:t>; Zapata-</w:t>
      </w:r>
      <w:proofErr w:type="spellStart"/>
      <w:r>
        <w:rPr>
          <w:rFonts w:ascii="Segoe UI" w:hAnsi="Segoe UI" w:cs="Segoe UI"/>
          <w:color w:val="222222"/>
          <w:sz w:val="27"/>
          <w:szCs w:val="27"/>
        </w:rPr>
        <w:t>Moya</w:t>
      </w:r>
      <w:proofErr w:type="spellEnd"/>
      <w:r>
        <w:rPr>
          <w:rFonts w:ascii="Segoe UI" w:hAnsi="Segoe UI" w:cs="Segoe UI"/>
          <w:color w:val="222222"/>
          <w:sz w:val="27"/>
          <w:szCs w:val="27"/>
        </w:rPr>
        <w:t xml:space="preserve"> et al., </w:t>
      </w:r>
      <w:hyperlink r:id="rId50" w:anchor="ref-CR35" w:tooltip="Zapata-Moya ÁR, Willems B, Bracke P (2019) The (re) production of health inequalities through the process of disseminating preventive innovations: the dynamic influence of socioeconomic status. Health Sociol Rev 28(2):177–193" w:history="1">
        <w:r>
          <w:rPr>
            <w:rStyle w:val="Hyperlink"/>
            <w:rFonts w:ascii="Segoe UI" w:hAnsi="Segoe UI" w:cs="Segoe UI"/>
            <w:color w:val="006699"/>
            <w:sz w:val="27"/>
            <w:szCs w:val="27"/>
          </w:rPr>
          <w:t>2019</w:t>
        </w:r>
      </w:hyperlink>
      <w:r>
        <w:rPr>
          <w:rFonts w:ascii="Segoe UI" w:hAnsi="Segoe UI" w:cs="Segoe UI"/>
          <w:color w:val="222222"/>
          <w:sz w:val="27"/>
          <w:szCs w:val="27"/>
        </w:rPr>
        <w:t>).</w:t>
      </w:r>
    </w:p>
    <w:p w:rsidR="00C22DE9" w:rsidRDefault="00C22DE9" w:rsidP="00C22DE9">
      <w:pPr>
        <w:shd w:val="clear" w:color="auto" w:fill="FFFFFF"/>
        <w:rPr>
          <w:rFonts w:ascii="Segoe UI" w:hAnsi="Segoe UI" w:cs="Segoe UI"/>
          <w:color w:val="222222"/>
          <w:sz w:val="27"/>
          <w:szCs w:val="27"/>
        </w:rPr>
      </w:pPr>
      <w:r>
        <w:rPr>
          <w:rFonts w:ascii="Segoe UI" w:hAnsi="Segoe UI" w:cs="Segoe UI"/>
          <w:b/>
          <w:bCs/>
          <w:color w:val="222222"/>
          <w:sz w:val="27"/>
          <w:szCs w:val="27"/>
        </w:rPr>
        <w:t>Fig. 2: Hypothetical relationship between technology diffusion and health inequalities.</w:t>
      </w:r>
    </w:p>
    <w:p w:rsidR="00C22DE9" w:rsidRDefault="00C22DE9" w:rsidP="00C22DE9">
      <w:pPr>
        <w:shd w:val="clear" w:color="auto" w:fill="FFFFFF"/>
        <w:rPr>
          <w:rFonts w:ascii="Segoe UI" w:hAnsi="Segoe UI" w:cs="Segoe UI"/>
          <w:color w:val="222222"/>
          <w:sz w:val="27"/>
          <w:szCs w:val="27"/>
        </w:rPr>
      </w:pPr>
      <w:r>
        <w:rPr>
          <w:rFonts w:ascii="Segoe UI" w:hAnsi="Segoe UI" w:cs="Segoe UI"/>
          <w:noProof/>
          <w:color w:val="006699"/>
          <w:sz w:val="27"/>
          <w:szCs w:val="27"/>
        </w:rPr>
        <w:drawing>
          <wp:inline distT="0" distB="0" distL="0" distR="0">
            <wp:extent cx="6521450" cy="4775200"/>
            <wp:effectExtent l="0" t="0" r="0" b="6350"/>
            <wp:docPr id="1" name="Picture 1" descr="figure 2">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 2">
                      <a:hlinkClick r:id="rId51"/>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521450" cy="4775200"/>
                    </a:xfrm>
                    <a:prstGeom prst="rect">
                      <a:avLst/>
                    </a:prstGeom>
                    <a:noFill/>
                    <a:ln>
                      <a:noFill/>
                    </a:ln>
                  </pic:spPr>
                </pic:pic>
              </a:graphicData>
            </a:graphic>
          </wp:inline>
        </w:drawing>
      </w:r>
    </w:p>
    <w:p w:rsidR="00C22DE9" w:rsidRDefault="00C22DE9" w:rsidP="00C22DE9">
      <w:pPr>
        <w:pStyle w:val="NormalWeb"/>
        <w:shd w:val="clear" w:color="auto" w:fill="FFFFFF"/>
        <w:spacing w:before="0" w:beforeAutospacing="0" w:after="0" w:afterAutospacing="0"/>
        <w:rPr>
          <w:rFonts w:ascii="Segoe UI" w:hAnsi="Segoe UI" w:cs="Segoe UI"/>
          <w:color w:val="222222"/>
          <w:sz w:val="27"/>
          <w:szCs w:val="27"/>
        </w:rPr>
      </w:pPr>
      <w:proofErr w:type="gramStart"/>
      <w:r>
        <w:rPr>
          <w:rFonts w:ascii="Segoe UI" w:hAnsi="Segoe UI" w:cs="Segoe UI"/>
          <w:color w:val="222222"/>
          <w:sz w:val="27"/>
          <w:szCs w:val="27"/>
        </w:rPr>
        <w:t>Retrieved from (Zapata-</w:t>
      </w:r>
      <w:proofErr w:type="spellStart"/>
      <w:r>
        <w:rPr>
          <w:rFonts w:ascii="Segoe UI" w:hAnsi="Segoe UI" w:cs="Segoe UI"/>
          <w:color w:val="222222"/>
          <w:sz w:val="27"/>
          <w:szCs w:val="27"/>
        </w:rPr>
        <w:t>Moya</w:t>
      </w:r>
      <w:proofErr w:type="spellEnd"/>
      <w:r>
        <w:rPr>
          <w:rFonts w:ascii="Segoe UI" w:hAnsi="Segoe UI" w:cs="Segoe UI"/>
          <w:color w:val="222222"/>
          <w:sz w:val="27"/>
          <w:szCs w:val="27"/>
        </w:rPr>
        <w:t xml:space="preserve"> et al., </w:t>
      </w:r>
      <w:hyperlink r:id="rId53" w:anchor="ref-CR35" w:tooltip="Zapata-Moya ÁR, Willems B, Bracke P (2019) The (re) production of health inequalities through the process of disseminating preventive innovations: the dynamic influence of socioeconomic status. Health Sociol Rev 28(2):177–193" w:history="1">
        <w:r>
          <w:rPr>
            <w:rStyle w:val="Hyperlink"/>
            <w:rFonts w:ascii="Segoe UI" w:hAnsi="Segoe UI" w:cs="Segoe UI"/>
            <w:color w:val="006699"/>
            <w:sz w:val="27"/>
            <w:szCs w:val="27"/>
          </w:rPr>
          <w:t>2019</w:t>
        </w:r>
      </w:hyperlink>
      <w:r>
        <w:rPr>
          <w:rFonts w:ascii="Segoe UI" w:hAnsi="Segoe UI" w:cs="Segoe UI"/>
          <w:color w:val="222222"/>
          <w:sz w:val="27"/>
          <w:szCs w:val="27"/>
        </w:rPr>
        <w:t>).</w:t>
      </w:r>
      <w:proofErr w:type="gramEnd"/>
    </w:p>
    <w:p w:rsidR="00C22DE9" w:rsidRDefault="00C22DE9" w:rsidP="00C22DE9">
      <w:pPr>
        <w:shd w:val="clear" w:color="auto" w:fill="FFFFFF"/>
        <w:jc w:val="right"/>
        <w:rPr>
          <w:rFonts w:ascii="Segoe UI" w:hAnsi="Segoe UI" w:cs="Segoe UI"/>
          <w:color w:val="222222"/>
          <w:sz w:val="27"/>
          <w:szCs w:val="27"/>
        </w:rPr>
      </w:pPr>
      <w:hyperlink r:id="rId54" w:history="1">
        <w:r>
          <w:rPr>
            <w:rStyle w:val="Hyperlink"/>
            <w:rFonts w:ascii="Segoe UI" w:hAnsi="Segoe UI" w:cs="Segoe UI"/>
            <w:b/>
            <w:bCs/>
            <w:color w:val="006699"/>
            <w:sz w:val="27"/>
            <w:szCs w:val="27"/>
            <w:bdr w:val="single" w:sz="24" w:space="6" w:color="BCD2DC" w:frame="1"/>
            <w:shd w:val="clear" w:color="auto" w:fill="FFFFFF"/>
          </w:rPr>
          <w:t>Full size image</w:t>
        </w:r>
      </w:hyperlink>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 xml:space="preserve">Following the same logic, we can also expect an unequal social distribution of vaccines within countries, with early adopters being those who have the resources to understand and appreciate the benefits of a vaccine. Early results from survey research indicate support for this notion, as both education and </w:t>
      </w:r>
      <w:r>
        <w:rPr>
          <w:rFonts w:ascii="Segoe UI" w:hAnsi="Segoe UI" w:cs="Segoe UI"/>
          <w:color w:val="222222"/>
          <w:sz w:val="27"/>
          <w:szCs w:val="27"/>
        </w:rPr>
        <w:lastRenderedPageBreak/>
        <w:t>income has proved to be positively associated with vaccine acceptance (Lazarus et al., </w:t>
      </w:r>
      <w:hyperlink r:id="rId55" w:anchor="ref-CR19" w:tooltip="Lazarus JV, Ratzan SC, Palayew A, Gostin LO, Larson HJ, Rabin K, Kimball S, El-Mohandes A (2021) A global survey of potential acceptance of a COVID-19 vaccine. Nat Med 27(2):225–228. &#10;                  https://doi.org/10.1038/s41591-020-1124-9&#10;                  &#10;                " w:history="1">
        <w:r>
          <w:rPr>
            <w:rStyle w:val="Hyperlink"/>
            <w:rFonts w:ascii="Segoe UI" w:hAnsi="Segoe UI" w:cs="Segoe UI"/>
            <w:color w:val="006699"/>
            <w:sz w:val="27"/>
            <w:szCs w:val="27"/>
          </w:rPr>
          <w:t>2021</w:t>
        </w:r>
      </w:hyperlink>
      <w:r>
        <w:rPr>
          <w:rFonts w:ascii="Segoe UI" w:hAnsi="Segoe UI" w:cs="Segoe UI"/>
          <w:color w:val="222222"/>
          <w:sz w:val="27"/>
          <w:szCs w:val="27"/>
        </w:rPr>
        <w:t xml:space="preserve">). One reason for this inequality may be distrust in government and the health services—e.g., due to historical experiences of discrimination among African Americans in the United States (Doherty &amp; </w:t>
      </w:r>
      <w:proofErr w:type="spellStart"/>
      <w:r>
        <w:rPr>
          <w:rFonts w:ascii="Segoe UI" w:hAnsi="Segoe UI" w:cs="Segoe UI"/>
          <w:color w:val="222222"/>
          <w:sz w:val="27"/>
          <w:szCs w:val="27"/>
        </w:rPr>
        <w:t>Kenen</w:t>
      </w:r>
      <w:proofErr w:type="spellEnd"/>
      <w:r>
        <w:rPr>
          <w:rFonts w:ascii="Segoe UI" w:hAnsi="Segoe UI" w:cs="Segoe UI"/>
          <w:color w:val="222222"/>
          <w:sz w:val="27"/>
          <w:szCs w:val="27"/>
        </w:rPr>
        <w:t>, </w:t>
      </w:r>
      <w:hyperlink r:id="rId56" w:anchor="ref-CR11" w:tooltip="Doherty T, Kenen J (2021) Just 5 percent of vaccinations have gone to Black Americans, despite equity efforts. Politico. &#10;                  https://www.politico.com/news/2021/02/01/covid-vaccine-racial-disparities-464387&#10;                  &#10;                " w:history="1">
        <w:r>
          <w:rPr>
            <w:rStyle w:val="Hyperlink"/>
            <w:rFonts w:ascii="Segoe UI" w:hAnsi="Segoe UI" w:cs="Segoe UI"/>
            <w:color w:val="006699"/>
            <w:sz w:val="27"/>
            <w:szCs w:val="27"/>
          </w:rPr>
          <w:t>2021</w:t>
        </w:r>
      </w:hyperlink>
      <w:r>
        <w:rPr>
          <w:rFonts w:ascii="Segoe UI" w:hAnsi="Segoe UI" w:cs="Segoe UI"/>
          <w:color w:val="222222"/>
          <w:sz w:val="27"/>
          <w:szCs w:val="27"/>
        </w:rPr>
        <w:t>). It will be important to monitor the socioeconomic distribution of vaccine uptake within countries, understand potential mechanisms, and specifically target vaccination campaigns.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Previous research integrating these two perspectives has focused on innovations requiring some individual agency, assuming that diffusion of innovations is a result of imitation of behavior. This article adds to this literature by emphasizing between-country inequalities, an area where such social modeling appears less likely. The COVID-19 pandemic and vaccine development provide a very relevant context to study inequality and innovation, and with this article we aim to explore how theories of fundamental causes and diffusion of innovations can inform these processes.</w:t>
      </w:r>
    </w:p>
    <w:p w:rsidR="00C22DE9" w:rsidRDefault="00C22DE9" w:rsidP="00C22DE9">
      <w:pPr>
        <w:pStyle w:val="Heading3"/>
        <w:shd w:val="clear" w:color="auto" w:fill="FFFFFF"/>
        <w:spacing w:before="0" w:after="120"/>
        <w:rPr>
          <w:rFonts w:ascii="Segoe UI" w:hAnsi="Segoe UI" w:cs="Segoe UI"/>
          <w:b w:val="0"/>
          <w:bCs w:val="0"/>
          <w:color w:val="222222"/>
          <w:sz w:val="27"/>
          <w:szCs w:val="27"/>
        </w:rPr>
      </w:pPr>
      <w:r>
        <w:rPr>
          <w:rFonts w:ascii="Segoe UI" w:hAnsi="Segoe UI" w:cs="Segoe UI"/>
          <w:b w:val="0"/>
          <w:bCs w:val="0"/>
          <w:color w:val="222222"/>
        </w:rPr>
        <w:t>Making progress against innovation-induced inequalities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The negative population health impacts of inequalities are not natural, inescapable consequences of technological change and globalization, they depend on the policies we choose to implement (Case &amp; Deaton, </w:t>
      </w:r>
      <w:hyperlink r:id="rId57" w:anchor="ref-CR6" w:tooltip="Case A, Deaton A (2020) Deaths of despair and the future of capitalism. Princeton University Press" w:history="1">
        <w:r>
          <w:rPr>
            <w:rStyle w:val="Hyperlink"/>
            <w:rFonts w:ascii="Segoe UI" w:hAnsi="Segoe UI" w:cs="Segoe UI"/>
            <w:color w:val="006699"/>
            <w:sz w:val="27"/>
            <w:szCs w:val="27"/>
          </w:rPr>
          <w:t>2020</w:t>
        </w:r>
      </w:hyperlink>
      <w:r>
        <w:rPr>
          <w:rFonts w:ascii="Segoe UI" w:hAnsi="Segoe UI" w:cs="Segoe UI"/>
          <w:color w:val="222222"/>
          <w:sz w:val="27"/>
          <w:szCs w:val="27"/>
        </w:rPr>
        <w:t>). Previous findings suggest that the initial inequality consequences of technological and medical progress seem to come with a long-term silver lining, as a more equitable distribution is reached later in the diffusion process (Cutler et al., </w:t>
      </w:r>
      <w:hyperlink r:id="rId58" w:anchor="ref-CR10" w:tooltip="Cutler D, Deaton A, Lleras-Muney A (2006) The determinants of mortality. J Econ Perspect 20(3):97–120" w:history="1">
        <w:r>
          <w:rPr>
            <w:rStyle w:val="Hyperlink"/>
            <w:rFonts w:ascii="Segoe UI" w:hAnsi="Segoe UI" w:cs="Segoe UI"/>
            <w:color w:val="006699"/>
            <w:sz w:val="27"/>
            <w:szCs w:val="27"/>
          </w:rPr>
          <w:t>2006</w:t>
        </w:r>
      </w:hyperlink>
      <w:r>
        <w:rPr>
          <w:rFonts w:ascii="Segoe UI" w:hAnsi="Segoe UI" w:cs="Segoe UI"/>
          <w:color w:val="222222"/>
          <w:sz w:val="27"/>
          <w:szCs w:val="27"/>
        </w:rPr>
        <w:t>). This is, however, not a natural consequence of free diffusion, but more likely a result of thorough and systematic efforts by health policy makers to ensure that everyone can reap the benefits of medical innovation, regardless of the resources available to them. Additionally, in a global pandemic like Covid-19, short-term consequences are undoubtedly imperative: time is of the essence.</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It has been argued that international pandemic preparedness plans have lacked an inequality perspective, possibly due to an idea that if medical risk factors are controlled for, everything else is socially neutral (</w:t>
      </w:r>
      <w:proofErr w:type="spellStart"/>
      <w:r>
        <w:rPr>
          <w:rFonts w:ascii="Segoe UI" w:hAnsi="Segoe UI" w:cs="Segoe UI"/>
          <w:color w:val="222222"/>
          <w:sz w:val="27"/>
          <w:szCs w:val="27"/>
        </w:rPr>
        <w:t>Mamelund</w:t>
      </w:r>
      <w:proofErr w:type="spellEnd"/>
      <w:r>
        <w:rPr>
          <w:rFonts w:ascii="Segoe UI" w:hAnsi="Segoe UI" w:cs="Segoe UI"/>
          <w:color w:val="222222"/>
          <w:sz w:val="27"/>
          <w:szCs w:val="27"/>
        </w:rPr>
        <w:t xml:space="preserve"> &amp; </w:t>
      </w:r>
      <w:proofErr w:type="spellStart"/>
      <w:r>
        <w:rPr>
          <w:rFonts w:ascii="Segoe UI" w:hAnsi="Segoe UI" w:cs="Segoe UI"/>
          <w:color w:val="222222"/>
          <w:sz w:val="27"/>
          <w:szCs w:val="27"/>
        </w:rPr>
        <w:t>Dimka</w:t>
      </w:r>
      <w:proofErr w:type="spellEnd"/>
      <w:r>
        <w:rPr>
          <w:rFonts w:ascii="Segoe UI" w:hAnsi="Segoe UI" w:cs="Segoe UI"/>
          <w:color w:val="222222"/>
          <w:sz w:val="27"/>
          <w:szCs w:val="27"/>
        </w:rPr>
        <w:t>, </w:t>
      </w:r>
      <w:hyperlink r:id="rId59" w:anchor="ref-CR21" w:tooltip="Mamelund S-E, Dimka J (2021) Social inequalities in infectious diseases. Scand J Public Health, 1403494821997228. &#10;                  https://doi.org/10.1177/1403494821997228&#10;                  &#10;                " w:history="1">
        <w:r>
          <w:rPr>
            <w:rStyle w:val="Hyperlink"/>
            <w:rFonts w:ascii="Segoe UI" w:hAnsi="Segoe UI" w:cs="Segoe UI"/>
            <w:color w:val="006699"/>
            <w:sz w:val="27"/>
            <w:szCs w:val="27"/>
          </w:rPr>
          <w:t>2021</w:t>
        </w:r>
      </w:hyperlink>
      <w:r>
        <w:rPr>
          <w:rFonts w:ascii="Segoe UI" w:hAnsi="Segoe UI" w:cs="Segoe UI"/>
          <w:color w:val="222222"/>
          <w:sz w:val="27"/>
          <w:szCs w:val="27"/>
        </w:rPr>
        <w:t xml:space="preserve">). It is true that a virus does not take its host’s social background </w:t>
      </w:r>
      <w:r>
        <w:rPr>
          <w:rFonts w:ascii="Segoe UI" w:hAnsi="Segoe UI" w:cs="Segoe UI"/>
          <w:color w:val="222222"/>
          <w:sz w:val="27"/>
          <w:szCs w:val="27"/>
        </w:rPr>
        <w:lastRenderedPageBreak/>
        <w:t xml:space="preserve">into account, but history has taught us that pandemics tend to hit populations unequally, following and effectively reinforcing existing inequality structures. Although complete </w:t>
      </w:r>
      <w:proofErr w:type="spellStart"/>
      <w:r>
        <w:rPr>
          <w:rFonts w:ascii="Segoe UI" w:hAnsi="Segoe UI" w:cs="Segoe UI"/>
          <w:color w:val="222222"/>
          <w:sz w:val="27"/>
          <w:szCs w:val="27"/>
        </w:rPr>
        <w:t>levelling</w:t>
      </w:r>
      <w:proofErr w:type="spellEnd"/>
      <w:r>
        <w:rPr>
          <w:rFonts w:ascii="Segoe UI" w:hAnsi="Segoe UI" w:cs="Segoe UI"/>
          <w:color w:val="222222"/>
          <w:sz w:val="27"/>
          <w:szCs w:val="27"/>
        </w:rPr>
        <w:t xml:space="preserve"> of resource distribution appears utopian, policy makers should nevertheless be aware of how socioeconomic inequalities are fundamentally linked to inequalities in health. Further, policy implementations to differing degree can strengthen or weaken the suggested mechanisms for the persistence of health disparities. Policies which require or reward out-of-pocket payments, health literacy, </w:t>
      </w:r>
      <w:proofErr w:type="gramStart"/>
      <w:r>
        <w:rPr>
          <w:rFonts w:ascii="Segoe UI" w:hAnsi="Segoe UI" w:cs="Segoe UI"/>
          <w:color w:val="222222"/>
          <w:sz w:val="27"/>
          <w:szCs w:val="27"/>
        </w:rPr>
        <w:t>self</w:t>
      </w:r>
      <w:proofErr w:type="gramEnd"/>
      <w:r>
        <w:rPr>
          <w:rFonts w:ascii="Segoe UI" w:hAnsi="Segoe UI" w:cs="Segoe UI"/>
          <w:color w:val="222222"/>
          <w:sz w:val="27"/>
          <w:szCs w:val="27"/>
        </w:rPr>
        <w:t>-efficacy and general personal agency should, as far as possible, be replaced with policies where personal resources are given less “wiggle room”. For example, if governments impose regulations on health damaging products rather than merely encourage individuals to practice healthy behaviors, the resource distribution will be of less influence.</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We argue that a national vaccine program should serve as a prototype of a more just form of medical innovation, which minimizes the influence of socioeconomic resources on health. Covid-19 vaccines are life-saving technologies in the early phase of adoption—when the influence of flexible resources is particularly powerful. Given the collective fate that the world’s populations may share with respect to the Covid-19 pandemic, global leadership and coordination is needed. Below, we suggest guiding principles to ensure an equitable vaccine distribution. For each principle, a global as well as a national perspective is needed to identify the most vulnerable populations and measure success in diffusing critical interventions such as the COVID-19 vaccines.</w:t>
      </w:r>
    </w:p>
    <w:p w:rsidR="00C22DE9" w:rsidRDefault="00C22DE9" w:rsidP="00C22DE9">
      <w:pPr>
        <w:pStyle w:val="Heading2"/>
        <w:pBdr>
          <w:bottom w:val="single" w:sz="12" w:space="6" w:color="D5D5D5"/>
        </w:pBdr>
        <w:shd w:val="clear" w:color="auto" w:fill="FFFFFF"/>
        <w:spacing w:before="0"/>
        <w:rPr>
          <w:rFonts w:ascii="Segoe UI" w:hAnsi="Segoe UI" w:cs="Segoe UI"/>
          <w:color w:val="222222"/>
          <w:sz w:val="36"/>
          <w:szCs w:val="36"/>
        </w:rPr>
      </w:pPr>
      <w:r>
        <w:rPr>
          <w:rFonts w:ascii="Segoe UI" w:hAnsi="Segoe UI" w:cs="Segoe UI"/>
          <w:color w:val="222222"/>
        </w:rPr>
        <w:t>Guiding principles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How can the theories of fundamental causes and diffusion of innovations inform us about the main determinants of successful and equitable diffusion of a medical technology? An important principle is to be aware of whether the innovation creates a context, which facilitates the use of flexible resources to obtain a health advantage, both within and between countries. In the following, we utilize theoretical expectations, as well as the research we have reviewed on technology diffusion and health inequalities, to formulate some guiding principles for the distribution of vaccines during a pandemic.</w:t>
      </w:r>
    </w:p>
    <w:p w:rsidR="00C22DE9" w:rsidRDefault="00C22DE9" w:rsidP="00C22DE9">
      <w:pPr>
        <w:pStyle w:val="Heading3"/>
        <w:shd w:val="clear" w:color="auto" w:fill="FFFFFF"/>
        <w:spacing w:before="0" w:after="120"/>
        <w:rPr>
          <w:rFonts w:ascii="Segoe UI" w:hAnsi="Segoe UI" w:cs="Segoe UI"/>
          <w:b w:val="0"/>
          <w:bCs w:val="0"/>
          <w:color w:val="222222"/>
          <w:sz w:val="27"/>
          <w:szCs w:val="27"/>
        </w:rPr>
      </w:pPr>
      <w:r>
        <w:rPr>
          <w:rFonts w:ascii="Segoe UI" w:hAnsi="Segoe UI" w:cs="Segoe UI"/>
          <w:b w:val="0"/>
          <w:bCs w:val="0"/>
          <w:color w:val="222222"/>
        </w:rPr>
        <w:lastRenderedPageBreak/>
        <w:t>Price</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Governments interested in decreasing within-country health inequalities should aim at weakening the impact of financial resources on access to vaccines. Very few countries are charging out-of-pocket payments from each individual patient, but the vaccines may put strains on national, regional, and local healthcare budgets, which vary dramatically in the resources available to them. If medical administrators consider the vaccines a limited resource like other medical technologies, they may, more or less deliberately, prioritize patients who appear competent and compliant—characteristics that have been associated with high social position (</w:t>
      </w:r>
      <w:proofErr w:type="spellStart"/>
      <w:r>
        <w:rPr>
          <w:rFonts w:ascii="Segoe UI" w:hAnsi="Segoe UI" w:cs="Segoe UI"/>
          <w:color w:val="222222"/>
          <w:sz w:val="27"/>
          <w:szCs w:val="27"/>
        </w:rPr>
        <w:t>Øversveen</w:t>
      </w:r>
      <w:proofErr w:type="spellEnd"/>
      <w:r>
        <w:rPr>
          <w:rFonts w:ascii="Segoe UI" w:hAnsi="Segoe UI" w:cs="Segoe UI"/>
          <w:color w:val="222222"/>
          <w:sz w:val="27"/>
          <w:szCs w:val="27"/>
        </w:rPr>
        <w:t>, </w:t>
      </w:r>
      <w:hyperlink r:id="rId60" w:anchor="ref-CR23" w:tooltip="Øversveen E (2021) Need, competence and compliance: Selective empowering in the distribution of medical technologies in the Norwegian health care system. Acta Sociol 64(2):184–197" w:history="1">
        <w:r>
          <w:rPr>
            <w:rStyle w:val="Hyperlink"/>
            <w:rFonts w:ascii="Segoe UI" w:hAnsi="Segoe UI" w:cs="Segoe UI"/>
            <w:color w:val="006699"/>
            <w:sz w:val="27"/>
            <w:szCs w:val="27"/>
          </w:rPr>
          <w:t>2021</w:t>
        </w:r>
      </w:hyperlink>
      <w:r>
        <w:rPr>
          <w:rFonts w:ascii="Segoe UI" w:hAnsi="Segoe UI" w:cs="Segoe UI"/>
          <w:color w:val="222222"/>
          <w:sz w:val="27"/>
          <w:szCs w:val="27"/>
        </w:rPr>
        <w:t xml:space="preserve">). </w:t>
      </w:r>
      <w:proofErr w:type="gramStart"/>
      <w:r>
        <w:rPr>
          <w:rFonts w:ascii="Segoe UI" w:hAnsi="Segoe UI" w:cs="Segoe UI"/>
          <w:color w:val="222222"/>
          <w:sz w:val="27"/>
          <w:szCs w:val="27"/>
        </w:rPr>
        <w:t>As for between-country inequalities, Fig.</w:t>
      </w:r>
      <w:proofErr w:type="gramEnd"/>
      <w:r>
        <w:rPr>
          <w:rFonts w:ascii="Segoe UI" w:hAnsi="Segoe UI" w:cs="Segoe UI"/>
          <w:color w:val="222222"/>
          <w:sz w:val="27"/>
          <w:szCs w:val="27"/>
        </w:rPr>
        <w:t> </w:t>
      </w:r>
      <w:hyperlink r:id="rId61" w:anchor="Fig1" w:history="1">
        <w:r>
          <w:rPr>
            <w:rStyle w:val="Hyperlink"/>
            <w:rFonts w:ascii="Segoe UI" w:hAnsi="Segoe UI" w:cs="Segoe UI"/>
            <w:color w:val="006699"/>
            <w:sz w:val="27"/>
            <w:szCs w:val="27"/>
          </w:rPr>
          <w:t>1</w:t>
        </w:r>
      </w:hyperlink>
      <w:r>
        <w:rPr>
          <w:rFonts w:ascii="Segoe UI" w:hAnsi="Segoe UI" w:cs="Segoe UI"/>
          <w:color w:val="222222"/>
          <w:sz w:val="27"/>
          <w:szCs w:val="27"/>
        </w:rPr>
        <w:t xml:space="preserve"> indicates that the global community indeed has let financial resources play a part in the distribution of vaccines. </w:t>
      </w:r>
      <w:proofErr w:type="gramStart"/>
      <w:r>
        <w:rPr>
          <w:rFonts w:ascii="Segoe UI" w:hAnsi="Segoe UI" w:cs="Segoe UI"/>
          <w:color w:val="222222"/>
          <w:sz w:val="27"/>
          <w:szCs w:val="27"/>
        </w:rPr>
        <w:t>This could for one be an expression of how the means of vaccine production—research, manufacturing, and licensure—are concentrated.</w:t>
      </w:r>
      <w:proofErr w:type="gramEnd"/>
      <w:r>
        <w:rPr>
          <w:rFonts w:ascii="Segoe UI" w:hAnsi="Segoe UI" w:cs="Segoe UI"/>
          <w:color w:val="222222"/>
          <w:sz w:val="27"/>
          <w:szCs w:val="27"/>
        </w:rPr>
        <w:t xml:space="preserve"> Big pharmaceutical companies such as Pfizer and </w:t>
      </w:r>
      <w:proofErr w:type="spellStart"/>
      <w:r>
        <w:rPr>
          <w:rFonts w:ascii="Segoe UI" w:hAnsi="Segoe UI" w:cs="Segoe UI"/>
          <w:color w:val="222222"/>
          <w:sz w:val="27"/>
          <w:szCs w:val="27"/>
        </w:rPr>
        <w:t>AstraZenecha</w:t>
      </w:r>
      <w:proofErr w:type="spellEnd"/>
      <w:r>
        <w:rPr>
          <w:rFonts w:ascii="Segoe UI" w:hAnsi="Segoe UI" w:cs="Segoe UI"/>
          <w:color w:val="222222"/>
          <w:sz w:val="27"/>
          <w:szCs w:val="27"/>
        </w:rPr>
        <w:t xml:space="preserve"> initially started their development and manufacturing in high-income countries, thereby providing these governments with beneficial social connections and subsequently giving them a “head start” in vaccinating their citizens. It is in line with the diffusion of innovation theory that innovators and early adopters rate high on different measures of social status, such as literacy, education, and wealth. Another theoretical expectation is that structural inequality in the social system where the innovation is introduced may lead to inequalities in the innovation’s consequences—which we can see reflected in the between-country inequality in socioeconomics as well as vaccine coverage.</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 xml:space="preserve">The “insurance scheme” approach of the COVAX initiative could be regarded as an attempt to counteract this development, where wealthy countries pool their resources to ensure an equitable distribution of vaccines. Coordinated by </w:t>
      </w:r>
      <w:proofErr w:type="spellStart"/>
      <w:r>
        <w:rPr>
          <w:rFonts w:ascii="Segoe UI" w:hAnsi="Segoe UI" w:cs="Segoe UI"/>
          <w:color w:val="222222"/>
          <w:sz w:val="27"/>
          <w:szCs w:val="27"/>
        </w:rPr>
        <w:t>Gavi</w:t>
      </w:r>
      <w:proofErr w:type="spellEnd"/>
      <w:r>
        <w:rPr>
          <w:rFonts w:ascii="Segoe UI" w:hAnsi="Segoe UI" w:cs="Segoe UI"/>
          <w:color w:val="222222"/>
          <w:sz w:val="27"/>
          <w:szCs w:val="27"/>
        </w:rPr>
        <w:t xml:space="preserve">, the Vaccine Alliance, </w:t>
      </w:r>
      <w:proofErr w:type="gramStart"/>
      <w:r>
        <w:rPr>
          <w:rFonts w:ascii="Segoe UI" w:hAnsi="Segoe UI" w:cs="Segoe UI"/>
          <w:color w:val="222222"/>
          <w:sz w:val="27"/>
          <w:szCs w:val="27"/>
        </w:rPr>
        <w:t>the</w:t>
      </w:r>
      <w:proofErr w:type="gramEnd"/>
      <w:r>
        <w:rPr>
          <w:rFonts w:ascii="Segoe UI" w:hAnsi="Segoe UI" w:cs="Segoe UI"/>
          <w:color w:val="222222"/>
          <w:sz w:val="27"/>
          <w:szCs w:val="27"/>
        </w:rPr>
        <w:t xml:space="preserve"> Coalition for Epidemic Preparedness Innovations (CEPI) and the WHO, the COVAX program is a platform supporting the research, development and manufacturing of a wide range of COVID-19 vaccine candidates, with the overall aim to ensure that people around the world have access to COVID-19 vaccines regardless of their wealth. Indeed, participating countries, regardless of income levels, will have equal access to vaccines once they are developed and pricing will be negotiated </w:t>
      </w:r>
      <w:r>
        <w:rPr>
          <w:rFonts w:ascii="Segoe UI" w:hAnsi="Segoe UI" w:cs="Segoe UI"/>
          <w:color w:val="222222"/>
          <w:sz w:val="27"/>
          <w:szCs w:val="27"/>
        </w:rPr>
        <w:lastRenderedPageBreak/>
        <w:t>(Berkley, </w:t>
      </w:r>
      <w:hyperlink r:id="rId62" w:anchor="ref-CR3" w:tooltip="Berkley S (2020) COVAX explained. &#10;                  https://www.gavi.org/vaccineswork/covax-explained&#10;                  &#10;                " w:history="1">
        <w:r>
          <w:rPr>
            <w:rStyle w:val="Hyperlink"/>
            <w:rFonts w:ascii="Segoe UI" w:hAnsi="Segoe UI" w:cs="Segoe UI"/>
            <w:color w:val="006699"/>
            <w:sz w:val="27"/>
            <w:szCs w:val="27"/>
          </w:rPr>
          <w:t>2020</w:t>
        </w:r>
      </w:hyperlink>
      <w:r>
        <w:rPr>
          <w:rFonts w:ascii="Segoe UI" w:hAnsi="Segoe UI" w:cs="Segoe UI"/>
          <w:color w:val="222222"/>
          <w:sz w:val="27"/>
          <w:szCs w:val="27"/>
        </w:rPr>
        <w:t>). Nearly all countries in the world have signed into the COVAX initiative. However, the efficacy of the program is being jeopardized by supply shortfalls. As all countries have similar needs for vaccination, the price of vaccines will increase in the early stages, when supply is low. This effectively increases the importance of financial resources, and potentially produces inequalities, in accordance with the presented theories. It has been argued that the supply shortage is an inescapable consequence of COVAX’ governance structure, thus undermining the initiative’s equity goals (</w:t>
      </w:r>
      <w:proofErr w:type="spellStart"/>
      <w:r>
        <w:rPr>
          <w:rFonts w:ascii="Segoe UI" w:hAnsi="Segoe UI" w:cs="Segoe UI"/>
          <w:color w:val="222222"/>
          <w:sz w:val="27"/>
          <w:szCs w:val="27"/>
        </w:rPr>
        <w:t>Storeng</w:t>
      </w:r>
      <w:proofErr w:type="spellEnd"/>
      <w:r>
        <w:rPr>
          <w:rFonts w:ascii="Segoe UI" w:hAnsi="Segoe UI" w:cs="Segoe UI"/>
          <w:color w:val="222222"/>
          <w:sz w:val="27"/>
          <w:szCs w:val="27"/>
        </w:rPr>
        <w:t xml:space="preserve"> et al., </w:t>
      </w:r>
      <w:hyperlink r:id="rId63" w:anchor="ref-CR30" w:tooltip="Storeng KT, de Bengy Puyvallée A, Stein F (2021) COVAX and the rise of the ‘super public private partnership’ for global health. Glob Public Health 0(0):1–17. &#10;                  https://doi.org/10.1080/17441692.2021.1987502&#10;                  &#10;                " w:history="1">
        <w:r>
          <w:rPr>
            <w:rStyle w:val="Hyperlink"/>
            <w:rFonts w:ascii="Segoe UI" w:hAnsi="Segoe UI" w:cs="Segoe UI"/>
            <w:color w:val="006699"/>
            <w:sz w:val="27"/>
            <w:szCs w:val="27"/>
          </w:rPr>
          <w:t>2021</w:t>
        </w:r>
      </w:hyperlink>
      <w:r>
        <w:rPr>
          <w:rFonts w:ascii="Segoe UI" w:hAnsi="Segoe UI" w:cs="Segoe UI"/>
          <w:color w:val="222222"/>
          <w:sz w:val="27"/>
          <w:szCs w:val="27"/>
        </w:rPr>
        <w:t>). Being a public-private partnership, COVAX includes actors with differing perspectives as well as different available resources: Donor-dependent lower-middle-income countries striving to cover as much of their populations as possible through limited means. Wealthier countries may have a short-term interest, fueled by the national political debate, to provide as many vaccines as possible to their citizens before being willing to share (</w:t>
      </w:r>
      <w:r>
        <w:rPr>
          <w:rFonts w:ascii="Segoe UI" w:hAnsi="Segoe UI" w:cs="Segoe UI"/>
          <w:i/>
          <w:iCs/>
          <w:color w:val="222222"/>
          <w:sz w:val="27"/>
          <w:szCs w:val="27"/>
        </w:rPr>
        <w:t>vaccine nationalism</w:t>
      </w:r>
      <w:r>
        <w:rPr>
          <w:rFonts w:ascii="Segoe UI" w:hAnsi="Segoe UI" w:cs="Segoe UI"/>
          <w:color w:val="222222"/>
          <w:sz w:val="27"/>
          <w:szCs w:val="27"/>
        </w:rPr>
        <w:t>), or using surplus vaccines to gain advantages in other fields (</w:t>
      </w:r>
      <w:r>
        <w:rPr>
          <w:rFonts w:ascii="Segoe UI" w:hAnsi="Segoe UI" w:cs="Segoe UI"/>
          <w:i/>
          <w:iCs/>
          <w:color w:val="222222"/>
          <w:sz w:val="27"/>
          <w:szCs w:val="27"/>
        </w:rPr>
        <w:t>vaccine diplomacy</w:t>
      </w:r>
      <w:r>
        <w:rPr>
          <w:rFonts w:ascii="Segoe UI" w:hAnsi="Segoe UI" w:cs="Segoe UI"/>
          <w:color w:val="222222"/>
          <w:sz w:val="27"/>
          <w:szCs w:val="27"/>
        </w:rPr>
        <w:t xml:space="preserve">). The partnership also includes pharmaceutical companies that ultimately operate in a profit-maximizing perspective, in some cases through price differentiation. </w:t>
      </w:r>
      <w:proofErr w:type="spellStart"/>
      <w:r>
        <w:rPr>
          <w:rFonts w:ascii="Segoe UI" w:hAnsi="Segoe UI" w:cs="Segoe UI"/>
          <w:color w:val="222222"/>
          <w:sz w:val="27"/>
          <w:szCs w:val="27"/>
        </w:rPr>
        <w:t>Storeng</w:t>
      </w:r>
      <w:proofErr w:type="spellEnd"/>
      <w:r>
        <w:rPr>
          <w:rFonts w:ascii="Segoe UI" w:hAnsi="Segoe UI" w:cs="Segoe UI"/>
          <w:color w:val="222222"/>
          <w:sz w:val="27"/>
          <w:szCs w:val="27"/>
        </w:rPr>
        <w:t xml:space="preserve"> et al. (</w:t>
      </w:r>
      <w:hyperlink r:id="rId64" w:anchor="ref-CR30" w:tooltip="Storeng KT, de Bengy Puyvallée A, Stein F (2021) COVAX and the rise of the ‘super public private partnership’ for global health. Glob Public Health 0(0):1–17. &#10;                  https://doi.org/10.1080/17441692.2021.1987502&#10;                  &#10;                " w:history="1">
        <w:r>
          <w:rPr>
            <w:rStyle w:val="Hyperlink"/>
            <w:rFonts w:ascii="Segoe UI" w:hAnsi="Segoe UI" w:cs="Segoe UI"/>
            <w:color w:val="006699"/>
            <w:sz w:val="27"/>
            <w:szCs w:val="27"/>
          </w:rPr>
          <w:t>2021</w:t>
        </w:r>
      </w:hyperlink>
      <w:r>
        <w:rPr>
          <w:rFonts w:ascii="Segoe UI" w:hAnsi="Segoe UI" w:cs="Segoe UI"/>
          <w:color w:val="222222"/>
          <w:sz w:val="27"/>
          <w:szCs w:val="27"/>
        </w:rPr>
        <w:t xml:space="preserve">) argue that there are </w:t>
      </w:r>
      <w:proofErr w:type="spellStart"/>
      <w:r>
        <w:rPr>
          <w:rFonts w:ascii="Segoe UI" w:hAnsi="Segoe UI" w:cs="Segoe UI"/>
          <w:color w:val="222222"/>
          <w:sz w:val="27"/>
          <w:szCs w:val="27"/>
        </w:rPr>
        <w:t>unclarities</w:t>
      </w:r>
      <w:proofErr w:type="spellEnd"/>
      <w:r>
        <w:rPr>
          <w:rFonts w:ascii="Segoe UI" w:hAnsi="Segoe UI" w:cs="Segoe UI"/>
          <w:color w:val="222222"/>
          <w:sz w:val="27"/>
          <w:szCs w:val="27"/>
        </w:rPr>
        <w:t xml:space="preserve"> in the program’s structure and accountability, for instance are there not any safeguards to hinder countries from making bilateral agreements outside of the COVAX system. They further argue that these </w:t>
      </w:r>
      <w:proofErr w:type="spellStart"/>
      <w:r>
        <w:rPr>
          <w:rFonts w:ascii="Segoe UI" w:hAnsi="Segoe UI" w:cs="Segoe UI"/>
          <w:color w:val="222222"/>
          <w:sz w:val="27"/>
          <w:szCs w:val="27"/>
        </w:rPr>
        <w:t>unclarities</w:t>
      </w:r>
      <w:proofErr w:type="spellEnd"/>
      <w:r>
        <w:rPr>
          <w:rFonts w:ascii="Segoe UI" w:hAnsi="Segoe UI" w:cs="Segoe UI"/>
          <w:color w:val="222222"/>
          <w:sz w:val="27"/>
          <w:szCs w:val="27"/>
        </w:rPr>
        <w:t>, in combination with the aforementioned inequalities between participating actors, contribute to the pharmaceutical companies’ powerful position within the partnership, consequently increasing the importance of countries’ financial resources.</w:t>
      </w:r>
    </w:p>
    <w:p w:rsidR="00C22DE9" w:rsidRDefault="00C22DE9" w:rsidP="00C22DE9">
      <w:pPr>
        <w:pStyle w:val="Heading3"/>
        <w:shd w:val="clear" w:color="auto" w:fill="FFFFFF"/>
        <w:spacing w:before="0" w:after="120"/>
        <w:rPr>
          <w:rFonts w:ascii="Segoe UI" w:hAnsi="Segoe UI" w:cs="Segoe UI"/>
          <w:b w:val="0"/>
          <w:bCs w:val="0"/>
          <w:color w:val="222222"/>
          <w:sz w:val="27"/>
          <w:szCs w:val="27"/>
        </w:rPr>
      </w:pPr>
      <w:r>
        <w:rPr>
          <w:rFonts w:ascii="Segoe UI" w:hAnsi="Segoe UI" w:cs="Segoe UI"/>
          <w:b w:val="0"/>
          <w:bCs w:val="0"/>
          <w:color w:val="222222"/>
        </w:rPr>
        <w:t>Access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Even in universal healthcare systems, socioeconomic status has been associated with receiving medically effective preventive medical care (cf. (</w:t>
      </w:r>
      <w:proofErr w:type="spellStart"/>
      <w:r>
        <w:rPr>
          <w:rFonts w:ascii="Segoe UI" w:hAnsi="Segoe UI" w:cs="Segoe UI"/>
          <w:color w:val="222222"/>
          <w:sz w:val="27"/>
          <w:szCs w:val="27"/>
        </w:rPr>
        <w:t>Elstad</w:t>
      </w:r>
      <w:proofErr w:type="spellEnd"/>
      <w:r>
        <w:rPr>
          <w:rFonts w:ascii="Segoe UI" w:hAnsi="Segoe UI" w:cs="Segoe UI"/>
          <w:color w:val="222222"/>
          <w:sz w:val="27"/>
          <w:szCs w:val="27"/>
        </w:rPr>
        <w:t>, </w:t>
      </w:r>
      <w:hyperlink r:id="rId65" w:anchor="ref-CR13" w:tooltip="Elstad JI (2018) Educational inequalities in hospital care for mortally ill patients in Norway. Scand J Public Health 46(1):74–82. &#10;                  https://doi.org/10.1177/1403494817705998&#10;                  &#10;                " w:history="1">
        <w:r>
          <w:rPr>
            <w:rStyle w:val="Hyperlink"/>
            <w:rFonts w:ascii="Segoe UI" w:hAnsi="Segoe UI" w:cs="Segoe UI"/>
            <w:color w:val="006699"/>
            <w:sz w:val="27"/>
            <w:szCs w:val="27"/>
          </w:rPr>
          <w:t>2018</w:t>
        </w:r>
      </w:hyperlink>
      <w:r>
        <w:rPr>
          <w:rFonts w:ascii="Segoe UI" w:hAnsi="Segoe UI" w:cs="Segoe UI"/>
          <w:color w:val="222222"/>
          <w:sz w:val="27"/>
          <w:szCs w:val="27"/>
        </w:rPr>
        <w:t xml:space="preserve">)). Vaccines should therefore be implemented through channels that ensure sufficient access to the whole population, irrespective of individual- or area-level socioeconomic standing. In the US, we have seen that disadvantaged groups who have higher incidence rates of disease are lagging behind in the vaccine rollout. In addition, there have been (anecdotal) reports of the difficulties associated with making vaccine appointments; not everyone </w:t>
      </w:r>
      <w:r>
        <w:rPr>
          <w:rFonts w:ascii="Segoe UI" w:hAnsi="Segoe UI" w:cs="Segoe UI"/>
          <w:color w:val="222222"/>
          <w:sz w:val="27"/>
          <w:szCs w:val="27"/>
        </w:rPr>
        <w:lastRenderedPageBreak/>
        <w:t>has a stable internet connection nor the opportunity and ability to be online as coveted appointments become available (</w:t>
      </w:r>
      <w:proofErr w:type="spellStart"/>
      <w:r>
        <w:rPr>
          <w:rFonts w:ascii="Segoe UI" w:hAnsi="Segoe UI" w:cs="Segoe UI"/>
          <w:color w:val="222222"/>
          <w:sz w:val="27"/>
          <w:szCs w:val="27"/>
        </w:rPr>
        <w:t>Cimons</w:t>
      </w:r>
      <w:proofErr w:type="spellEnd"/>
      <w:r>
        <w:rPr>
          <w:rFonts w:ascii="Segoe UI" w:hAnsi="Segoe UI" w:cs="Segoe UI"/>
          <w:color w:val="222222"/>
          <w:sz w:val="27"/>
          <w:szCs w:val="27"/>
        </w:rPr>
        <w:t>, </w:t>
      </w:r>
      <w:hyperlink r:id="rId66" w:anchor="ref-CR7" w:tooltip="Cimons M (2021) Perspective | Getting a coronavirus vaccine appointment fills me with despair. Every search ends in frustration, and I’m at a low point of a long, dark year. Washington Post. &#10;                  https://www.washingtonpost.com/health/covid-vaccine-appointment-system-failure/2021/02/04/c7a5c300-6662-11eb-886d-5264d4ceb46d_story.html&#10;                  &#10;                " w:history="1">
        <w:r>
          <w:rPr>
            <w:rStyle w:val="Hyperlink"/>
            <w:rFonts w:ascii="Segoe UI" w:hAnsi="Segoe UI" w:cs="Segoe UI"/>
            <w:color w:val="006699"/>
            <w:sz w:val="27"/>
            <w:szCs w:val="27"/>
          </w:rPr>
          <w:t>2021</w:t>
        </w:r>
      </w:hyperlink>
      <w:r>
        <w:rPr>
          <w:rFonts w:ascii="Segoe UI" w:hAnsi="Segoe UI" w:cs="Segoe UI"/>
          <w:color w:val="222222"/>
          <w:sz w:val="27"/>
          <w:szCs w:val="27"/>
        </w:rPr>
        <w:t xml:space="preserve">; Doherty &amp; </w:t>
      </w:r>
      <w:proofErr w:type="spellStart"/>
      <w:r>
        <w:rPr>
          <w:rFonts w:ascii="Segoe UI" w:hAnsi="Segoe UI" w:cs="Segoe UI"/>
          <w:color w:val="222222"/>
          <w:sz w:val="27"/>
          <w:szCs w:val="27"/>
        </w:rPr>
        <w:t>Kenen</w:t>
      </w:r>
      <w:proofErr w:type="spellEnd"/>
      <w:r>
        <w:rPr>
          <w:rFonts w:ascii="Segoe UI" w:hAnsi="Segoe UI" w:cs="Segoe UI"/>
          <w:color w:val="222222"/>
          <w:sz w:val="27"/>
          <w:szCs w:val="27"/>
        </w:rPr>
        <w:t>, </w:t>
      </w:r>
      <w:hyperlink r:id="rId67" w:anchor="ref-CR11" w:tooltip="Doherty T, Kenen J (2021) Just 5 percent of vaccinations have gone to Black Americans, despite equity efforts. Politico. &#10;                  https://www.politico.com/news/2021/02/01/covid-vaccine-racial-disparities-464387&#10;                  &#10;                " w:history="1">
        <w:r>
          <w:rPr>
            <w:rStyle w:val="Hyperlink"/>
            <w:rFonts w:ascii="Segoe UI" w:hAnsi="Segoe UI" w:cs="Segoe UI"/>
            <w:color w:val="006699"/>
            <w:sz w:val="27"/>
            <w:szCs w:val="27"/>
          </w:rPr>
          <w:t>2021</w:t>
        </w:r>
      </w:hyperlink>
      <w:r>
        <w:rPr>
          <w:rFonts w:ascii="Segoe UI" w:hAnsi="Segoe UI" w:cs="Segoe UI"/>
          <w:color w:val="222222"/>
          <w:sz w:val="27"/>
          <w:szCs w:val="27"/>
        </w:rPr>
        <w:t>). These stories suggest that the US federal government has allowed for flexible resources like knowledge and social networks to impact the probability of receiving a vaccine. More active governance of vaccine appointments could be one solution. To support individuals’ potentially lost income when receiving vaccination could be another.</w:t>
      </w:r>
    </w:p>
    <w:p w:rsidR="00C22DE9" w:rsidRDefault="00C22DE9" w:rsidP="00C22DE9">
      <w:pPr>
        <w:pStyle w:val="Heading3"/>
        <w:shd w:val="clear" w:color="auto" w:fill="FFFFFF"/>
        <w:spacing w:before="0" w:after="120"/>
        <w:rPr>
          <w:rFonts w:ascii="Segoe UI" w:hAnsi="Segoe UI" w:cs="Segoe UI"/>
          <w:b w:val="0"/>
          <w:bCs w:val="0"/>
          <w:color w:val="222222"/>
          <w:sz w:val="27"/>
          <w:szCs w:val="27"/>
        </w:rPr>
      </w:pPr>
      <w:r>
        <w:rPr>
          <w:rFonts w:ascii="Segoe UI" w:hAnsi="Segoe UI" w:cs="Segoe UI"/>
          <w:b w:val="0"/>
          <w:bCs w:val="0"/>
          <w:color w:val="222222"/>
        </w:rPr>
        <w:t>Acceptance</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Equality in vaccine opportunity secured by price and access does not secure equality in outcome. If, as previous research has suggested, there is a socioeconomic gradient in acknowledging vaccines as safe, important, and efficient, the uptake may be lower among disadvantaged groups. One solution to this issue would be mandatory vaccination, a radical policy associated with both ethical and practical problems, while a “softer” approach would be to ensure the spread of information—the benefits, as well as the potential side effects, of vaccination. Experimental survey research has found that information on the collective benefits of vaccination—i.e., herd immunity—is a stronger predictor of vaccine acceptance than information on the individual benefits (</w:t>
      </w:r>
      <w:proofErr w:type="spellStart"/>
      <w:r>
        <w:rPr>
          <w:rFonts w:ascii="Segoe UI" w:hAnsi="Segoe UI" w:cs="Segoe UI"/>
          <w:color w:val="222222"/>
          <w:sz w:val="27"/>
          <w:szCs w:val="27"/>
        </w:rPr>
        <w:t>Arnesen</w:t>
      </w:r>
      <w:proofErr w:type="spellEnd"/>
      <w:r>
        <w:rPr>
          <w:rFonts w:ascii="Segoe UI" w:hAnsi="Segoe UI" w:cs="Segoe UI"/>
          <w:color w:val="222222"/>
          <w:sz w:val="27"/>
          <w:szCs w:val="27"/>
        </w:rPr>
        <w:t xml:space="preserve"> et al., </w:t>
      </w:r>
      <w:hyperlink r:id="rId68" w:anchor="ref-CR1" w:tooltip="Arnesen S, Bærøe K, Cappelen C, Carlsen B (2018) Could information about herd immunity help us achieve herd immunity? Evidence from a population representative survey experiment. Scand J Public Health 46(8):854–858. &#10;                  https://doi.org/10.1177/1403494818770298&#10;                  &#10;                " w:history="1">
        <w:r>
          <w:rPr>
            <w:rStyle w:val="Hyperlink"/>
            <w:rFonts w:ascii="Segoe UI" w:hAnsi="Segoe UI" w:cs="Segoe UI"/>
            <w:color w:val="006699"/>
            <w:sz w:val="27"/>
            <w:szCs w:val="27"/>
          </w:rPr>
          <w:t>2018</w:t>
        </w:r>
      </w:hyperlink>
      <w:r>
        <w:rPr>
          <w:rFonts w:ascii="Segoe UI" w:hAnsi="Segoe UI" w:cs="Segoe UI"/>
          <w:color w:val="222222"/>
          <w:sz w:val="27"/>
          <w:szCs w:val="27"/>
        </w:rPr>
        <w:t>). Following these findings, one equity approach would be to actively promote the collective benefits of vaccination, both with regards to vaccine-skeptical individuals and to vaccine-hoarding countries: none of us are safe until all of us are safe.</w:t>
      </w:r>
    </w:p>
    <w:p w:rsidR="00C22DE9" w:rsidRDefault="00C22DE9" w:rsidP="00C22DE9">
      <w:pPr>
        <w:pStyle w:val="Heading2"/>
        <w:pBdr>
          <w:bottom w:val="single" w:sz="12" w:space="6" w:color="D5D5D5"/>
        </w:pBdr>
        <w:shd w:val="clear" w:color="auto" w:fill="FFFFFF"/>
        <w:spacing w:before="0"/>
        <w:rPr>
          <w:rFonts w:ascii="Segoe UI" w:hAnsi="Segoe UI" w:cs="Segoe UI"/>
          <w:color w:val="222222"/>
          <w:sz w:val="36"/>
          <w:szCs w:val="36"/>
        </w:rPr>
      </w:pPr>
      <w:r>
        <w:rPr>
          <w:rFonts w:ascii="Segoe UI" w:hAnsi="Segoe UI" w:cs="Segoe UI"/>
          <w:color w:val="222222"/>
        </w:rPr>
        <w:t>Conclusions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Pandemic disease and its countermeasures—</w:t>
      </w:r>
      <w:proofErr w:type="gramStart"/>
      <w:r>
        <w:rPr>
          <w:rFonts w:ascii="Segoe UI" w:hAnsi="Segoe UI" w:cs="Segoe UI"/>
          <w:color w:val="222222"/>
          <w:sz w:val="27"/>
          <w:szCs w:val="27"/>
        </w:rPr>
        <w:t>be</w:t>
      </w:r>
      <w:proofErr w:type="gramEnd"/>
      <w:r>
        <w:rPr>
          <w:rFonts w:ascii="Segoe UI" w:hAnsi="Segoe UI" w:cs="Segoe UI"/>
          <w:color w:val="222222"/>
          <w:sz w:val="27"/>
          <w:szCs w:val="27"/>
        </w:rPr>
        <w:t xml:space="preserve"> that social distancing, complete lockdown, as well as the development and distribution of vaccines—exemplify how medical phenomena cannot be isolated from its social context. In order to promote an equitable distribution of vaccines, we need to ensure that price levels, access, and acceptability do not dependent on the resources at hand among individuals and nations. This is only possible if we can raise awareness about the health protective effects of the vaccine among all citizens, if all citizens are regarded as equal partners in the eyes of the international community, and only if political decision-making processes about vaccine </w:t>
      </w:r>
      <w:r>
        <w:rPr>
          <w:rFonts w:ascii="Segoe UI" w:hAnsi="Segoe UI" w:cs="Segoe UI"/>
          <w:color w:val="222222"/>
          <w:sz w:val="27"/>
          <w:szCs w:val="27"/>
        </w:rPr>
        <w:lastRenderedPageBreak/>
        <w:t>distribution strategies are made detached from traditional power structures. In this way, we will not only obtain reduced inequalities and healthier populations, but also reinforced trust in governmental institutions, a key building stone of modern democracies.</w:t>
      </w:r>
    </w:p>
    <w:p w:rsidR="00C22DE9" w:rsidRDefault="00C22DE9" w:rsidP="00C22DE9">
      <w:pPr>
        <w:pStyle w:val="Heading2"/>
        <w:pBdr>
          <w:bottom w:val="single" w:sz="12" w:space="6" w:color="D5D5D5"/>
        </w:pBdr>
        <w:shd w:val="clear" w:color="auto" w:fill="FFFFFF"/>
        <w:spacing w:before="0"/>
        <w:rPr>
          <w:rFonts w:ascii="Segoe UI" w:hAnsi="Segoe UI" w:cs="Segoe UI"/>
          <w:color w:val="222222"/>
          <w:sz w:val="36"/>
          <w:szCs w:val="36"/>
        </w:rPr>
      </w:pPr>
      <w:r>
        <w:rPr>
          <w:rFonts w:ascii="Segoe UI" w:hAnsi="Segoe UI" w:cs="Segoe UI"/>
          <w:color w:val="222222"/>
        </w:rPr>
        <w:t>Data availability</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Data used in Fig. </w:t>
      </w:r>
      <w:hyperlink r:id="rId69" w:anchor="Fig1" w:history="1">
        <w:r>
          <w:rPr>
            <w:rStyle w:val="Hyperlink"/>
            <w:rFonts w:ascii="Segoe UI" w:hAnsi="Segoe UI" w:cs="Segoe UI"/>
            <w:color w:val="006699"/>
            <w:sz w:val="27"/>
            <w:szCs w:val="27"/>
          </w:rPr>
          <w:t>1</w:t>
        </w:r>
      </w:hyperlink>
      <w:r>
        <w:rPr>
          <w:rFonts w:ascii="Segoe UI" w:hAnsi="Segoe UI" w:cs="Segoe UI"/>
          <w:color w:val="222222"/>
          <w:sz w:val="27"/>
          <w:szCs w:val="27"/>
        </w:rPr>
        <w:t> available at ourworldindata.org</w:t>
      </w:r>
    </w:p>
    <w:p w:rsidR="00C22DE9" w:rsidRDefault="00C22DE9" w:rsidP="00C22DE9">
      <w:pPr>
        <w:pStyle w:val="Heading2"/>
        <w:pBdr>
          <w:bottom w:val="single" w:sz="12" w:space="6" w:color="D5D5D5"/>
        </w:pBdr>
        <w:shd w:val="clear" w:color="auto" w:fill="FFFFFF"/>
        <w:spacing w:before="0"/>
        <w:rPr>
          <w:rFonts w:ascii="Segoe UI" w:hAnsi="Segoe UI" w:cs="Segoe UI"/>
          <w:color w:val="222222"/>
          <w:sz w:val="36"/>
          <w:szCs w:val="36"/>
        </w:rPr>
      </w:pPr>
      <w:r>
        <w:rPr>
          <w:rFonts w:ascii="Segoe UI" w:hAnsi="Segoe UI" w:cs="Segoe UI"/>
          <w:color w:val="222222"/>
        </w:rPr>
        <w:t>References</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Arnesen</w:t>
      </w:r>
      <w:proofErr w:type="spellEnd"/>
      <w:r>
        <w:rPr>
          <w:rFonts w:ascii="Segoe UI" w:hAnsi="Segoe UI" w:cs="Segoe UI"/>
          <w:color w:val="222222"/>
          <w:sz w:val="27"/>
          <w:szCs w:val="27"/>
        </w:rPr>
        <w:t xml:space="preserve"> S, </w:t>
      </w:r>
      <w:proofErr w:type="spellStart"/>
      <w:r>
        <w:rPr>
          <w:rFonts w:ascii="Segoe UI" w:hAnsi="Segoe UI" w:cs="Segoe UI"/>
          <w:color w:val="222222"/>
          <w:sz w:val="27"/>
          <w:szCs w:val="27"/>
        </w:rPr>
        <w:t>Bærøe</w:t>
      </w:r>
      <w:proofErr w:type="spellEnd"/>
      <w:r>
        <w:rPr>
          <w:rFonts w:ascii="Segoe UI" w:hAnsi="Segoe UI" w:cs="Segoe UI"/>
          <w:color w:val="222222"/>
          <w:sz w:val="27"/>
          <w:szCs w:val="27"/>
        </w:rPr>
        <w:t xml:space="preserve"> K, </w:t>
      </w:r>
      <w:proofErr w:type="spellStart"/>
      <w:r>
        <w:rPr>
          <w:rFonts w:ascii="Segoe UI" w:hAnsi="Segoe UI" w:cs="Segoe UI"/>
          <w:color w:val="222222"/>
          <w:sz w:val="27"/>
          <w:szCs w:val="27"/>
        </w:rPr>
        <w:t>Cappelen</w:t>
      </w:r>
      <w:proofErr w:type="spellEnd"/>
      <w:r>
        <w:rPr>
          <w:rFonts w:ascii="Segoe UI" w:hAnsi="Segoe UI" w:cs="Segoe UI"/>
          <w:color w:val="222222"/>
          <w:sz w:val="27"/>
          <w:szCs w:val="27"/>
        </w:rPr>
        <w:t xml:space="preserve"> C, </w:t>
      </w:r>
      <w:proofErr w:type="spellStart"/>
      <w:r>
        <w:rPr>
          <w:rFonts w:ascii="Segoe UI" w:hAnsi="Segoe UI" w:cs="Segoe UI"/>
          <w:color w:val="222222"/>
          <w:sz w:val="27"/>
          <w:szCs w:val="27"/>
        </w:rPr>
        <w:t>Carlsen</w:t>
      </w:r>
      <w:proofErr w:type="spellEnd"/>
      <w:r>
        <w:rPr>
          <w:rFonts w:ascii="Segoe UI" w:hAnsi="Segoe UI" w:cs="Segoe UI"/>
          <w:color w:val="222222"/>
          <w:sz w:val="27"/>
          <w:szCs w:val="27"/>
        </w:rPr>
        <w:t xml:space="preserve"> B (2018) </w:t>
      </w:r>
      <w:proofErr w:type="gramStart"/>
      <w:r>
        <w:rPr>
          <w:rFonts w:ascii="Segoe UI" w:hAnsi="Segoe UI" w:cs="Segoe UI"/>
          <w:color w:val="222222"/>
          <w:sz w:val="27"/>
          <w:szCs w:val="27"/>
        </w:rPr>
        <w:t>Could</w:t>
      </w:r>
      <w:proofErr w:type="gramEnd"/>
      <w:r>
        <w:rPr>
          <w:rFonts w:ascii="Segoe UI" w:hAnsi="Segoe UI" w:cs="Segoe UI"/>
          <w:color w:val="222222"/>
          <w:sz w:val="27"/>
          <w:szCs w:val="27"/>
        </w:rPr>
        <w:t xml:space="preserve"> information about herd immunity help us achieve herd immunity? Evidence from a population representative survey experiment. </w:t>
      </w:r>
      <w:proofErr w:type="spellStart"/>
      <w:r>
        <w:rPr>
          <w:rFonts w:ascii="Segoe UI" w:hAnsi="Segoe UI" w:cs="Segoe UI"/>
          <w:color w:val="222222"/>
          <w:sz w:val="27"/>
          <w:szCs w:val="27"/>
        </w:rPr>
        <w:t>Scand</w:t>
      </w:r>
      <w:proofErr w:type="spellEnd"/>
      <w:r>
        <w:rPr>
          <w:rFonts w:ascii="Segoe UI" w:hAnsi="Segoe UI" w:cs="Segoe UI"/>
          <w:color w:val="222222"/>
          <w:sz w:val="27"/>
          <w:szCs w:val="27"/>
        </w:rPr>
        <w:t xml:space="preserve"> J Public Health 46(8):854–858. </w:t>
      </w:r>
      <w:hyperlink r:id="rId70" w:history="1">
        <w:r>
          <w:rPr>
            <w:rStyle w:val="Hyperlink"/>
            <w:rFonts w:ascii="Segoe UI" w:hAnsi="Segoe UI" w:cs="Segoe UI"/>
            <w:color w:val="006699"/>
            <w:sz w:val="27"/>
            <w:szCs w:val="27"/>
          </w:rPr>
          <w:t>https://doi.org/10.1177/1403494818770298</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71"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72" w:history="1">
        <w:r>
          <w:rPr>
            <w:rStyle w:val="Hyperlink"/>
            <w:rFonts w:ascii="Segoe UI" w:hAnsi="Segoe UI" w:cs="Segoe UI"/>
            <w:b/>
            <w:bCs/>
            <w:color w:val="006699"/>
            <w:sz w:val="27"/>
            <w:szCs w:val="27"/>
          </w:rPr>
          <w:t>PubMed</w:t>
        </w:r>
      </w:hyperlink>
      <w:r>
        <w:rPr>
          <w:rFonts w:ascii="Segoe UI" w:hAnsi="Segoe UI" w:cs="Segoe UI"/>
          <w:b/>
          <w:bCs/>
          <w:color w:val="222222"/>
          <w:sz w:val="27"/>
          <w:szCs w:val="27"/>
        </w:rPr>
        <w:t> </w:t>
      </w:r>
      <w:hyperlink r:id="rId73"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Bambra</w:t>
      </w:r>
      <w:proofErr w:type="spellEnd"/>
      <w:r>
        <w:rPr>
          <w:rFonts w:ascii="Segoe UI" w:hAnsi="Segoe UI" w:cs="Segoe UI"/>
          <w:color w:val="222222"/>
          <w:sz w:val="27"/>
          <w:szCs w:val="27"/>
        </w:rPr>
        <w:t xml:space="preserve"> C, Riordan R, Ford J, Matthews F (2020) The COVID-19 pandemic and health inequalities. J </w:t>
      </w:r>
      <w:proofErr w:type="spellStart"/>
      <w:r>
        <w:rPr>
          <w:rFonts w:ascii="Segoe UI" w:hAnsi="Segoe UI" w:cs="Segoe UI"/>
          <w:color w:val="222222"/>
          <w:sz w:val="27"/>
          <w:szCs w:val="27"/>
        </w:rPr>
        <w:t>Epidemiol</w:t>
      </w:r>
      <w:proofErr w:type="spellEnd"/>
      <w:r>
        <w:rPr>
          <w:rFonts w:ascii="Segoe UI" w:hAnsi="Segoe UI" w:cs="Segoe UI"/>
          <w:color w:val="222222"/>
          <w:sz w:val="27"/>
          <w:szCs w:val="27"/>
        </w:rPr>
        <w:t xml:space="preserve"> Community Health. </w:t>
      </w:r>
      <w:hyperlink r:id="rId74" w:history="1">
        <w:r>
          <w:rPr>
            <w:rStyle w:val="Hyperlink"/>
            <w:rFonts w:ascii="Segoe UI" w:hAnsi="Segoe UI" w:cs="Segoe UI"/>
            <w:color w:val="006699"/>
            <w:sz w:val="27"/>
            <w:szCs w:val="27"/>
          </w:rPr>
          <w:t>https://doi.org/10.1136/jech-2020-214401</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Berkley S (2020) COVAX explained. </w:t>
      </w:r>
      <w:hyperlink r:id="rId75" w:history="1">
        <w:r>
          <w:rPr>
            <w:rStyle w:val="Hyperlink"/>
            <w:rFonts w:ascii="Segoe UI" w:hAnsi="Segoe UI" w:cs="Segoe UI"/>
            <w:color w:val="006699"/>
            <w:sz w:val="27"/>
            <w:szCs w:val="27"/>
          </w:rPr>
          <w:t>https://www.gavi.org/vaccineswork/covax-explained</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Bollyky</w:t>
      </w:r>
      <w:proofErr w:type="spellEnd"/>
      <w:r>
        <w:rPr>
          <w:rFonts w:ascii="Segoe UI" w:hAnsi="Segoe UI" w:cs="Segoe UI"/>
          <w:color w:val="222222"/>
          <w:sz w:val="27"/>
          <w:szCs w:val="27"/>
        </w:rPr>
        <w:t xml:space="preserve"> TJ, Murray CJL, Reiner RC (2021) Epidemiology, not geopolitics, should guide COVID-19 vaccine donations. Lancet 398(10295):97–99. </w:t>
      </w:r>
      <w:hyperlink r:id="rId76" w:history="1">
        <w:r>
          <w:rPr>
            <w:rStyle w:val="Hyperlink"/>
            <w:rFonts w:ascii="Segoe UI" w:hAnsi="Segoe UI" w:cs="Segoe UI"/>
            <w:color w:val="006699"/>
            <w:sz w:val="27"/>
            <w:szCs w:val="27"/>
          </w:rPr>
          <w:t>https://doi.org/10.1016/S0140-6736(21)01323-4</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77"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78" w:history="1">
        <w:r>
          <w:rPr>
            <w:rStyle w:val="Hyperlink"/>
            <w:rFonts w:ascii="Segoe UI" w:hAnsi="Segoe UI" w:cs="Segoe UI"/>
            <w:b/>
            <w:bCs/>
            <w:color w:val="006699"/>
            <w:sz w:val="27"/>
            <w:szCs w:val="27"/>
          </w:rPr>
          <w:t>CAS</w:t>
        </w:r>
      </w:hyperlink>
      <w:r>
        <w:rPr>
          <w:rFonts w:ascii="Segoe UI" w:hAnsi="Segoe UI" w:cs="Segoe UI"/>
          <w:b/>
          <w:bCs/>
          <w:color w:val="222222"/>
          <w:sz w:val="27"/>
          <w:szCs w:val="27"/>
        </w:rPr>
        <w:t> </w:t>
      </w:r>
      <w:hyperlink r:id="rId79" w:history="1">
        <w:r>
          <w:rPr>
            <w:rStyle w:val="Hyperlink"/>
            <w:rFonts w:ascii="Segoe UI" w:hAnsi="Segoe UI" w:cs="Segoe UI"/>
            <w:b/>
            <w:bCs/>
            <w:color w:val="006699"/>
            <w:sz w:val="27"/>
            <w:szCs w:val="27"/>
          </w:rPr>
          <w:t>PubMed</w:t>
        </w:r>
      </w:hyperlink>
      <w:r>
        <w:rPr>
          <w:rFonts w:ascii="Segoe UI" w:hAnsi="Segoe UI" w:cs="Segoe UI"/>
          <w:b/>
          <w:bCs/>
          <w:color w:val="222222"/>
          <w:sz w:val="27"/>
          <w:szCs w:val="27"/>
        </w:rPr>
        <w:t> </w:t>
      </w:r>
      <w:proofErr w:type="spellStart"/>
      <w:r>
        <w:rPr>
          <w:rFonts w:ascii="Segoe UI" w:hAnsi="Segoe UI" w:cs="Segoe UI"/>
          <w:b/>
          <w:bCs/>
          <w:color w:val="222222"/>
          <w:sz w:val="27"/>
          <w:szCs w:val="27"/>
        </w:rPr>
        <w:fldChar w:fldCharType="begin"/>
      </w:r>
      <w:r>
        <w:rPr>
          <w:rFonts w:ascii="Segoe UI" w:hAnsi="Segoe UI" w:cs="Segoe UI"/>
          <w:b/>
          <w:bCs/>
          <w:color w:val="222222"/>
          <w:sz w:val="27"/>
          <w:szCs w:val="27"/>
        </w:rPr>
        <w:instrText xml:space="preserve"> HYPERLINK "http://www.ncbi.nlm.nih.gov/pmc/articles/PMC8186848" </w:instrText>
      </w:r>
      <w:r>
        <w:rPr>
          <w:rFonts w:ascii="Segoe UI" w:hAnsi="Segoe UI" w:cs="Segoe UI"/>
          <w:b/>
          <w:bCs/>
          <w:color w:val="222222"/>
          <w:sz w:val="27"/>
          <w:szCs w:val="27"/>
        </w:rPr>
        <w:fldChar w:fldCharType="separate"/>
      </w:r>
      <w:r>
        <w:rPr>
          <w:rStyle w:val="Hyperlink"/>
          <w:rFonts w:ascii="Segoe UI" w:hAnsi="Segoe UI" w:cs="Segoe UI"/>
          <w:b/>
          <w:bCs/>
          <w:color w:val="006699"/>
          <w:sz w:val="27"/>
          <w:szCs w:val="27"/>
        </w:rPr>
        <w:t>PubMed</w:t>
      </w:r>
      <w:proofErr w:type="spellEnd"/>
      <w:r>
        <w:rPr>
          <w:rStyle w:val="Hyperlink"/>
          <w:rFonts w:ascii="Segoe UI" w:hAnsi="Segoe UI" w:cs="Segoe UI"/>
          <w:b/>
          <w:bCs/>
          <w:color w:val="006699"/>
          <w:sz w:val="27"/>
          <w:szCs w:val="27"/>
        </w:rPr>
        <w:t xml:space="preserve"> Central</w:t>
      </w:r>
      <w:r>
        <w:rPr>
          <w:rFonts w:ascii="Segoe UI" w:hAnsi="Segoe UI" w:cs="Segoe UI"/>
          <w:b/>
          <w:bCs/>
          <w:color w:val="222222"/>
          <w:sz w:val="27"/>
          <w:szCs w:val="27"/>
        </w:rPr>
        <w:fldChar w:fldCharType="end"/>
      </w:r>
      <w:r>
        <w:rPr>
          <w:rFonts w:ascii="Segoe UI" w:hAnsi="Segoe UI" w:cs="Segoe UI"/>
          <w:b/>
          <w:bCs/>
          <w:color w:val="222222"/>
          <w:sz w:val="27"/>
          <w:szCs w:val="27"/>
        </w:rPr>
        <w:t> </w:t>
      </w:r>
      <w:hyperlink r:id="rId80"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Cameroni</w:t>
      </w:r>
      <w:proofErr w:type="spellEnd"/>
      <w:r>
        <w:rPr>
          <w:rFonts w:ascii="Segoe UI" w:hAnsi="Segoe UI" w:cs="Segoe UI"/>
          <w:color w:val="222222"/>
          <w:sz w:val="27"/>
          <w:szCs w:val="27"/>
        </w:rPr>
        <w:t xml:space="preserve"> E, </w:t>
      </w:r>
      <w:proofErr w:type="spellStart"/>
      <w:r>
        <w:rPr>
          <w:rFonts w:ascii="Segoe UI" w:hAnsi="Segoe UI" w:cs="Segoe UI"/>
          <w:color w:val="222222"/>
          <w:sz w:val="27"/>
          <w:szCs w:val="27"/>
        </w:rPr>
        <w:t>Saliba</w:t>
      </w:r>
      <w:proofErr w:type="spellEnd"/>
      <w:r>
        <w:rPr>
          <w:rFonts w:ascii="Segoe UI" w:hAnsi="Segoe UI" w:cs="Segoe UI"/>
          <w:color w:val="222222"/>
          <w:sz w:val="27"/>
          <w:szCs w:val="27"/>
        </w:rPr>
        <w:t xml:space="preserve"> C, Bowen JE, Rosen LE, </w:t>
      </w:r>
      <w:proofErr w:type="spellStart"/>
      <w:r>
        <w:rPr>
          <w:rFonts w:ascii="Segoe UI" w:hAnsi="Segoe UI" w:cs="Segoe UI"/>
          <w:color w:val="222222"/>
          <w:sz w:val="27"/>
          <w:szCs w:val="27"/>
        </w:rPr>
        <w:t>Culap</w:t>
      </w:r>
      <w:proofErr w:type="spellEnd"/>
      <w:r>
        <w:rPr>
          <w:rFonts w:ascii="Segoe UI" w:hAnsi="Segoe UI" w:cs="Segoe UI"/>
          <w:color w:val="222222"/>
          <w:sz w:val="27"/>
          <w:szCs w:val="27"/>
        </w:rPr>
        <w:t xml:space="preserve"> K, Pinto D, Marco AD, Zepeda SK, </w:t>
      </w:r>
      <w:proofErr w:type="spellStart"/>
      <w:r>
        <w:rPr>
          <w:rFonts w:ascii="Segoe UI" w:hAnsi="Segoe UI" w:cs="Segoe UI"/>
          <w:color w:val="222222"/>
          <w:sz w:val="27"/>
          <w:szCs w:val="27"/>
        </w:rPr>
        <w:t>Iulio</w:t>
      </w:r>
      <w:proofErr w:type="spellEnd"/>
      <w:r>
        <w:rPr>
          <w:rFonts w:ascii="Segoe UI" w:hAnsi="Segoe UI" w:cs="Segoe UI"/>
          <w:color w:val="222222"/>
          <w:sz w:val="27"/>
          <w:szCs w:val="27"/>
        </w:rPr>
        <w:t xml:space="preserve"> J di, </w:t>
      </w:r>
      <w:proofErr w:type="spellStart"/>
      <w:r>
        <w:rPr>
          <w:rFonts w:ascii="Segoe UI" w:hAnsi="Segoe UI" w:cs="Segoe UI"/>
          <w:color w:val="222222"/>
          <w:sz w:val="27"/>
          <w:szCs w:val="27"/>
        </w:rPr>
        <w:t>Zatta</w:t>
      </w:r>
      <w:proofErr w:type="spellEnd"/>
      <w:r>
        <w:rPr>
          <w:rFonts w:ascii="Segoe UI" w:hAnsi="Segoe UI" w:cs="Segoe UI"/>
          <w:color w:val="222222"/>
          <w:sz w:val="27"/>
          <w:szCs w:val="27"/>
        </w:rPr>
        <w:t xml:space="preserve"> F, Kaiser H, </w:t>
      </w:r>
      <w:proofErr w:type="spellStart"/>
      <w:r>
        <w:rPr>
          <w:rFonts w:ascii="Segoe UI" w:hAnsi="Segoe UI" w:cs="Segoe UI"/>
          <w:color w:val="222222"/>
          <w:sz w:val="27"/>
          <w:szCs w:val="27"/>
        </w:rPr>
        <w:t>Noack</w:t>
      </w:r>
      <w:proofErr w:type="spellEnd"/>
      <w:r>
        <w:rPr>
          <w:rFonts w:ascii="Segoe UI" w:hAnsi="Segoe UI" w:cs="Segoe UI"/>
          <w:color w:val="222222"/>
          <w:sz w:val="27"/>
          <w:szCs w:val="27"/>
        </w:rPr>
        <w:t xml:space="preserve"> J, </w:t>
      </w:r>
      <w:proofErr w:type="spellStart"/>
      <w:r>
        <w:rPr>
          <w:rFonts w:ascii="Segoe UI" w:hAnsi="Segoe UI" w:cs="Segoe UI"/>
          <w:color w:val="222222"/>
          <w:sz w:val="27"/>
          <w:szCs w:val="27"/>
        </w:rPr>
        <w:t>Farhat</w:t>
      </w:r>
      <w:proofErr w:type="spellEnd"/>
      <w:r>
        <w:rPr>
          <w:rFonts w:ascii="Segoe UI" w:hAnsi="Segoe UI" w:cs="Segoe UI"/>
          <w:color w:val="222222"/>
          <w:sz w:val="27"/>
          <w:szCs w:val="27"/>
        </w:rPr>
        <w:t xml:space="preserve"> N, </w:t>
      </w:r>
      <w:proofErr w:type="spellStart"/>
      <w:r>
        <w:rPr>
          <w:rFonts w:ascii="Segoe UI" w:hAnsi="Segoe UI" w:cs="Segoe UI"/>
          <w:color w:val="222222"/>
          <w:sz w:val="27"/>
          <w:szCs w:val="27"/>
        </w:rPr>
        <w:t>Czudnochowski</w:t>
      </w:r>
      <w:proofErr w:type="spellEnd"/>
      <w:r>
        <w:rPr>
          <w:rFonts w:ascii="Segoe UI" w:hAnsi="Segoe UI" w:cs="Segoe UI"/>
          <w:color w:val="222222"/>
          <w:sz w:val="27"/>
          <w:szCs w:val="27"/>
        </w:rPr>
        <w:t xml:space="preserve"> N, </w:t>
      </w:r>
      <w:proofErr w:type="spellStart"/>
      <w:r>
        <w:rPr>
          <w:rFonts w:ascii="Segoe UI" w:hAnsi="Segoe UI" w:cs="Segoe UI"/>
          <w:color w:val="222222"/>
          <w:sz w:val="27"/>
          <w:szCs w:val="27"/>
        </w:rPr>
        <w:t>Havenar-Daughton</w:t>
      </w:r>
      <w:proofErr w:type="spellEnd"/>
      <w:r>
        <w:rPr>
          <w:rFonts w:ascii="Segoe UI" w:hAnsi="Segoe UI" w:cs="Segoe UI"/>
          <w:color w:val="222222"/>
          <w:sz w:val="27"/>
          <w:szCs w:val="27"/>
        </w:rPr>
        <w:t xml:space="preserve"> C, </w:t>
      </w:r>
      <w:proofErr w:type="spellStart"/>
      <w:r>
        <w:rPr>
          <w:rFonts w:ascii="Segoe UI" w:hAnsi="Segoe UI" w:cs="Segoe UI"/>
          <w:color w:val="222222"/>
          <w:sz w:val="27"/>
          <w:szCs w:val="27"/>
        </w:rPr>
        <w:t>Sprouse</w:t>
      </w:r>
      <w:proofErr w:type="spellEnd"/>
      <w:r>
        <w:rPr>
          <w:rFonts w:ascii="Segoe UI" w:hAnsi="Segoe UI" w:cs="Segoe UI"/>
          <w:color w:val="222222"/>
          <w:sz w:val="27"/>
          <w:szCs w:val="27"/>
        </w:rPr>
        <w:t xml:space="preserve"> KR, </w:t>
      </w:r>
      <w:proofErr w:type="spellStart"/>
      <w:r>
        <w:rPr>
          <w:rFonts w:ascii="Segoe UI" w:hAnsi="Segoe UI" w:cs="Segoe UI"/>
          <w:color w:val="222222"/>
          <w:sz w:val="27"/>
          <w:szCs w:val="27"/>
        </w:rPr>
        <w:t>Dillen</w:t>
      </w:r>
      <w:proofErr w:type="spellEnd"/>
      <w:r>
        <w:rPr>
          <w:rFonts w:ascii="Segoe UI" w:hAnsi="Segoe UI" w:cs="Segoe UI"/>
          <w:color w:val="222222"/>
          <w:sz w:val="27"/>
          <w:szCs w:val="27"/>
        </w:rPr>
        <w:t xml:space="preserve"> JR, Powell AE, Chen A, … </w:t>
      </w:r>
      <w:proofErr w:type="spellStart"/>
      <w:r>
        <w:rPr>
          <w:rFonts w:ascii="Segoe UI" w:hAnsi="Segoe UI" w:cs="Segoe UI"/>
          <w:color w:val="222222"/>
          <w:sz w:val="27"/>
          <w:szCs w:val="27"/>
        </w:rPr>
        <w:t>Corti</w:t>
      </w:r>
      <w:proofErr w:type="spellEnd"/>
      <w:r>
        <w:rPr>
          <w:rFonts w:ascii="Segoe UI" w:hAnsi="Segoe UI" w:cs="Segoe UI"/>
          <w:color w:val="222222"/>
          <w:sz w:val="27"/>
          <w:szCs w:val="27"/>
        </w:rPr>
        <w:t xml:space="preserve"> D (2021) Broadly neutralizing antibodies overcome SARS-CoV-2 Omicron antigenic shift. </w:t>
      </w:r>
      <w:hyperlink r:id="rId81" w:history="1">
        <w:r>
          <w:rPr>
            <w:rStyle w:val="Hyperlink"/>
            <w:rFonts w:ascii="Segoe UI" w:hAnsi="Segoe UI" w:cs="Segoe UI"/>
            <w:color w:val="006699"/>
            <w:sz w:val="27"/>
            <w:szCs w:val="27"/>
          </w:rPr>
          <w:t>https://doi.org/10.1101/2021.12.12.472269</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Case </w:t>
      </w:r>
      <w:proofErr w:type="gramStart"/>
      <w:r>
        <w:rPr>
          <w:rFonts w:ascii="Segoe UI" w:hAnsi="Segoe UI" w:cs="Segoe UI"/>
          <w:color w:val="222222"/>
          <w:sz w:val="27"/>
          <w:szCs w:val="27"/>
        </w:rPr>
        <w:t>A</w:t>
      </w:r>
      <w:proofErr w:type="gramEnd"/>
      <w:r>
        <w:rPr>
          <w:rFonts w:ascii="Segoe UI" w:hAnsi="Segoe UI" w:cs="Segoe UI"/>
          <w:color w:val="222222"/>
          <w:sz w:val="27"/>
          <w:szCs w:val="27"/>
        </w:rPr>
        <w:t>, Deaton A (2020) Deaths of despair and the future of capitalism. Princeton University Press</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lastRenderedPageBreak/>
        <w:t>Cimons</w:t>
      </w:r>
      <w:proofErr w:type="spellEnd"/>
      <w:r>
        <w:rPr>
          <w:rFonts w:ascii="Segoe UI" w:hAnsi="Segoe UI" w:cs="Segoe UI"/>
          <w:color w:val="222222"/>
          <w:sz w:val="27"/>
          <w:szCs w:val="27"/>
        </w:rPr>
        <w:t xml:space="preserve"> M (2021) Perspective | Getting a coronavirus vaccine appointment fills me with despair. Every search ends in frustration, and I’m at a low point of a long, dark year. Washington Post. </w:t>
      </w:r>
      <w:hyperlink r:id="rId82" w:history="1">
        <w:r>
          <w:rPr>
            <w:rStyle w:val="Hyperlink"/>
            <w:rFonts w:ascii="Segoe UI" w:hAnsi="Segoe UI" w:cs="Segoe UI"/>
            <w:color w:val="006699"/>
            <w:sz w:val="27"/>
            <w:szCs w:val="27"/>
          </w:rPr>
          <w:t>https://www.washingtonpost.com/health/covid-vaccine-appointment-system-failure/2021/02/04/c7a5c300-6662-11eb-886d-5264d4ceb46d_story.html</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Clouston</w:t>
      </w:r>
      <w:proofErr w:type="spellEnd"/>
      <w:r>
        <w:rPr>
          <w:rFonts w:ascii="Segoe UI" w:hAnsi="Segoe UI" w:cs="Segoe UI"/>
          <w:color w:val="222222"/>
          <w:sz w:val="27"/>
          <w:szCs w:val="27"/>
        </w:rPr>
        <w:t xml:space="preserve"> SA, Link BG (2021) A retrospective on fundamental cause theory: state of the literature and goals for the future Ann Rev </w:t>
      </w:r>
      <w:proofErr w:type="spellStart"/>
      <w:r>
        <w:rPr>
          <w:rFonts w:ascii="Segoe UI" w:hAnsi="Segoe UI" w:cs="Segoe UI"/>
          <w:color w:val="222222"/>
          <w:sz w:val="27"/>
          <w:szCs w:val="27"/>
        </w:rPr>
        <w:t>Sociol</w:t>
      </w:r>
      <w:proofErr w:type="spellEnd"/>
      <w:r>
        <w:rPr>
          <w:rFonts w:ascii="Segoe UI" w:hAnsi="Segoe UI" w:cs="Segoe UI"/>
          <w:color w:val="222222"/>
          <w:sz w:val="27"/>
          <w:szCs w:val="27"/>
        </w:rPr>
        <w:t xml:space="preserve"> 47:131–156</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83"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84"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Clouston</w:t>
      </w:r>
      <w:proofErr w:type="spellEnd"/>
      <w:r>
        <w:rPr>
          <w:rFonts w:ascii="Segoe UI" w:hAnsi="Segoe UI" w:cs="Segoe UI"/>
          <w:color w:val="222222"/>
          <w:sz w:val="27"/>
          <w:szCs w:val="27"/>
        </w:rPr>
        <w:t xml:space="preserve"> SA, Rubin MS, Phelan JC, Link BG (2016) </w:t>
      </w:r>
      <w:proofErr w:type="gramStart"/>
      <w:r>
        <w:rPr>
          <w:rFonts w:ascii="Segoe UI" w:hAnsi="Segoe UI" w:cs="Segoe UI"/>
          <w:color w:val="222222"/>
          <w:sz w:val="27"/>
          <w:szCs w:val="27"/>
        </w:rPr>
        <w:t>A</w:t>
      </w:r>
      <w:proofErr w:type="gramEnd"/>
      <w:r>
        <w:rPr>
          <w:rFonts w:ascii="Segoe UI" w:hAnsi="Segoe UI" w:cs="Segoe UI"/>
          <w:color w:val="222222"/>
          <w:sz w:val="27"/>
          <w:szCs w:val="27"/>
        </w:rPr>
        <w:t xml:space="preserve"> social history of disease: contextualizing the rise and fall of social inequalities in cause-specific mortality. Demography 53(5):1631–1656</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85"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86"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Cutler D, Deaton A, </w:t>
      </w:r>
      <w:proofErr w:type="spellStart"/>
      <w:r>
        <w:rPr>
          <w:rFonts w:ascii="Segoe UI" w:hAnsi="Segoe UI" w:cs="Segoe UI"/>
          <w:color w:val="222222"/>
          <w:sz w:val="27"/>
          <w:szCs w:val="27"/>
        </w:rPr>
        <w:t>Lleras-Muney</w:t>
      </w:r>
      <w:proofErr w:type="spellEnd"/>
      <w:r>
        <w:rPr>
          <w:rFonts w:ascii="Segoe UI" w:hAnsi="Segoe UI" w:cs="Segoe UI"/>
          <w:color w:val="222222"/>
          <w:sz w:val="27"/>
          <w:szCs w:val="27"/>
        </w:rPr>
        <w:t xml:space="preserve"> A (2006) </w:t>
      </w:r>
      <w:proofErr w:type="gramStart"/>
      <w:r>
        <w:rPr>
          <w:rFonts w:ascii="Segoe UI" w:hAnsi="Segoe UI" w:cs="Segoe UI"/>
          <w:color w:val="222222"/>
          <w:sz w:val="27"/>
          <w:szCs w:val="27"/>
        </w:rPr>
        <w:t>The</w:t>
      </w:r>
      <w:proofErr w:type="gramEnd"/>
      <w:r>
        <w:rPr>
          <w:rFonts w:ascii="Segoe UI" w:hAnsi="Segoe UI" w:cs="Segoe UI"/>
          <w:color w:val="222222"/>
          <w:sz w:val="27"/>
          <w:szCs w:val="27"/>
        </w:rPr>
        <w:t xml:space="preserve"> determinants of mortality. J Econ </w:t>
      </w:r>
      <w:proofErr w:type="spellStart"/>
      <w:r>
        <w:rPr>
          <w:rFonts w:ascii="Segoe UI" w:hAnsi="Segoe UI" w:cs="Segoe UI"/>
          <w:color w:val="222222"/>
          <w:sz w:val="27"/>
          <w:szCs w:val="27"/>
        </w:rPr>
        <w:t>Perspect</w:t>
      </w:r>
      <w:proofErr w:type="spellEnd"/>
      <w:r>
        <w:rPr>
          <w:rFonts w:ascii="Segoe UI" w:hAnsi="Segoe UI" w:cs="Segoe UI"/>
          <w:color w:val="222222"/>
          <w:sz w:val="27"/>
          <w:szCs w:val="27"/>
        </w:rPr>
        <w:t xml:space="preserve"> 20(3):97–120</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87"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88"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Doherty T, </w:t>
      </w:r>
      <w:proofErr w:type="spellStart"/>
      <w:r>
        <w:rPr>
          <w:rFonts w:ascii="Segoe UI" w:hAnsi="Segoe UI" w:cs="Segoe UI"/>
          <w:color w:val="222222"/>
          <w:sz w:val="27"/>
          <w:szCs w:val="27"/>
        </w:rPr>
        <w:t>Kenen</w:t>
      </w:r>
      <w:proofErr w:type="spellEnd"/>
      <w:r>
        <w:rPr>
          <w:rFonts w:ascii="Segoe UI" w:hAnsi="Segoe UI" w:cs="Segoe UI"/>
          <w:color w:val="222222"/>
          <w:sz w:val="27"/>
          <w:szCs w:val="27"/>
        </w:rPr>
        <w:t xml:space="preserve"> J (2021) Just 5 percent of vaccinations have gone to Black Americans, despite equity efforts. Politico. </w:t>
      </w:r>
      <w:hyperlink r:id="rId89" w:history="1">
        <w:r>
          <w:rPr>
            <w:rStyle w:val="Hyperlink"/>
            <w:rFonts w:ascii="Segoe UI" w:hAnsi="Segoe UI" w:cs="Segoe UI"/>
            <w:color w:val="006699"/>
            <w:sz w:val="27"/>
            <w:szCs w:val="27"/>
          </w:rPr>
          <w:t>https://www.politico.com/news/2021/02/01/covid-vaccine-racial-disparities-464387</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Drefahl</w:t>
      </w:r>
      <w:proofErr w:type="spellEnd"/>
      <w:r>
        <w:rPr>
          <w:rFonts w:ascii="Segoe UI" w:hAnsi="Segoe UI" w:cs="Segoe UI"/>
          <w:color w:val="222222"/>
          <w:sz w:val="27"/>
          <w:szCs w:val="27"/>
        </w:rPr>
        <w:t xml:space="preserve"> S (2020) </w:t>
      </w:r>
      <w:proofErr w:type="gramStart"/>
      <w:r>
        <w:rPr>
          <w:rFonts w:ascii="Segoe UI" w:hAnsi="Segoe UI" w:cs="Segoe UI"/>
          <w:color w:val="222222"/>
          <w:sz w:val="27"/>
          <w:szCs w:val="27"/>
        </w:rPr>
        <w:t>A</w:t>
      </w:r>
      <w:proofErr w:type="gramEnd"/>
      <w:r>
        <w:rPr>
          <w:rFonts w:ascii="Segoe UI" w:hAnsi="Segoe UI" w:cs="Segoe UI"/>
          <w:color w:val="222222"/>
          <w:sz w:val="27"/>
          <w:szCs w:val="27"/>
        </w:rPr>
        <w:t xml:space="preserve"> population-based cohort study of socio-demographic risk factors for COVID-19 deaths in Sweden. Nat </w:t>
      </w:r>
      <w:proofErr w:type="spellStart"/>
      <w:r>
        <w:rPr>
          <w:rFonts w:ascii="Segoe UI" w:hAnsi="Segoe UI" w:cs="Segoe UI"/>
          <w:color w:val="222222"/>
          <w:sz w:val="27"/>
          <w:szCs w:val="27"/>
        </w:rPr>
        <w:t>Commun</w:t>
      </w:r>
      <w:proofErr w:type="spellEnd"/>
      <w:r>
        <w:rPr>
          <w:rFonts w:ascii="Segoe UI" w:hAnsi="Segoe UI" w:cs="Segoe UI"/>
          <w:color w:val="222222"/>
          <w:sz w:val="27"/>
          <w:szCs w:val="27"/>
        </w:rPr>
        <w:t xml:space="preserve"> 11(1):1–7</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90"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91"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Elstad</w:t>
      </w:r>
      <w:proofErr w:type="spellEnd"/>
      <w:r>
        <w:rPr>
          <w:rFonts w:ascii="Segoe UI" w:hAnsi="Segoe UI" w:cs="Segoe UI"/>
          <w:color w:val="222222"/>
          <w:sz w:val="27"/>
          <w:szCs w:val="27"/>
        </w:rPr>
        <w:t xml:space="preserve"> JI (2018) Educational inequalities in hospital care for mortally ill patients in Norway. </w:t>
      </w:r>
      <w:proofErr w:type="spellStart"/>
      <w:r>
        <w:rPr>
          <w:rFonts w:ascii="Segoe UI" w:hAnsi="Segoe UI" w:cs="Segoe UI"/>
          <w:color w:val="222222"/>
          <w:sz w:val="27"/>
          <w:szCs w:val="27"/>
        </w:rPr>
        <w:t>Scand</w:t>
      </w:r>
      <w:proofErr w:type="spellEnd"/>
      <w:r>
        <w:rPr>
          <w:rFonts w:ascii="Segoe UI" w:hAnsi="Segoe UI" w:cs="Segoe UI"/>
          <w:color w:val="222222"/>
          <w:sz w:val="27"/>
          <w:szCs w:val="27"/>
        </w:rPr>
        <w:t xml:space="preserve"> J Public Health 46(1):74–82. </w:t>
      </w:r>
      <w:hyperlink r:id="rId92" w:history="1">
        <w:r>
          <w:rPr>
            <w:rStyle w:val="Hyperlink"/>
            <w:rFonts w:ascii="Segoe UI" w:hAnsi="Segoe UI" w:cs="Segoe UI"/>
            <w:color w:val="006699"/>
            <w:sz w:val="27"/>
            <w:szCs w:val="27"/>
          </w:rPr>
          <w:t>https://doi.org/10.1177/1403494817705998</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93"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94" w:history="1">
        <w:r>
          <w:rPr>
            <w:rStyle w:val="Hyperlink"/>
            <w:rFonts w:ascii="Segoe UI" w:hAnsi="Segoe UI" w:cs="Segoe UI"/>
            <w:b/>
            <w:bCs/>
            <w:color w:val="006699"/>
            <w:sz w:val="27"/>
            <w:szCs w:val="27"/>
          </w:rPr>
          <w:t>PubMed</w:t>
        </w:r>
      </w:hyperlink>
      <w:r>
        <w:rPr>
          <w:rFonts w:ascii="Segoe UI" w:hAnsi="Segoe UI" w:cs="Segoe UI"/>
          <w:b/>
          <w:bCs/>
          <w:color w:val="222222"/>
          <w:sz w:val="27"/>
          <w:szCs w:val="27"/>
        </w:rPr>
        <w:t> </w:t>
      </w:r>
      <w:hyperlink r:id="rId95"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Giskes</w:t>
      </w:r>
      <w:proofErr w:type="spellEnd"/>
      <w:r>
        <w:rPr>
          <w:rFonts w:ascii="Segoe UI" w:hAnsi="Segoe UI" w:cs="Segoe UI"/>
          <w:color w:val="222222"/>
          <w:sz w:val="27"/>
          <w:szCs w:val="27"/>
        </w:rPr>
        <w:t xml:space="preserve"> K, </w:t>
      </w:r>
      <w:proofErr w:type="spellStart"/>
      <w:r>
        <w:rPr>
          <w:rFonts w:ascii="Segoe UI" w:hAnsi="Segoe UI" w:cs="Segoe UI"/>
          <w:color w:val="222222"/>
          <w:sz w:val="27"/>
          <w:szCs w:val="27"/>
        </w:rPr>
        <w:t>Kunst</w:t>
      </w:r>
      <w:proofErr w:type="spellEnd"/>
      <w:r>
        <w:rPr>
          <w:rFonts w:ascii="Segoe UI" w:hAnsi="Segoe UI" w:cs="Segoe UI"/>
          <w:color w:val="222222"/>
          <w:sz w:val="27"/>
          <w:szCs w:val="27"/>
        </w:rPr>
        <w:t xml:space="preserve"> AE, </w:t>
      </w:r>
      <w:proofErr w:type="spellStart"/>
      <w:r>
        <w:rPr>
          <w:rFonts w:ascii="Segoe UI" w:hAnsi="Segoe UI" w:cs="Segoe UI"/>
          <w:color w:val="222222"/>
          <w:sz w:val="27"/>
          <w:szCs w:val="27"/>
        </w:rPr>
        <w:t>Benach</w:t>
      </w:r>
      <w:proofErr w:type="spellEnd"/>
      <w:r>
        <w:rPr>
          <w:rFonts w:ascii="Segoe UI" w:hAnsi="Segoe UI" w:cs="Segoe UI"/>
          <w:color w:val="222222"/>
          <w:sz w:val="27"/>
          <w:szCs w:val="27"/>
        </w:rPr>
        <w:t xml:space="preserve"> J, </w:t>
      </w:r>
      <w:proofErr w:type="spellStart"/>
      <w:r>
        <w:rPr>
          <w:rFonts w:ascii="Segoe UI" w:hAnsi="Segoe UI" w:cs="Segoe UI"/>
          <w:color w:val="222222"/>
          <w:sz w:val="27"/>
          <w:szCs w:val="27"/>
        </w:rPr>
        <w:t>Borrell</w:t>
      </w:r>
      <w:proofErr w:type="spellEnd"/>
      <w:r>
        <w:rPr>
          <w:rFonts w:ascii="Segoe UI" w:hAnsi="Segoe UI" w:cs="Segoe UI"/>
          <w:color w:val="222222"/>
          <w:sz w:val="27"/>
          <w:szCs w:val="27"/>
        </w:rPr>
        <w:t xml:space="preserve"> C, Costa G, Dahl E, </w:t>
      </w:r>
      <w:proofErr w:type="spellStart"/>
      <w:r>
        <w:rPr>
          <w:rFonts w:ascii="Segoe UI" w:hAnsi="Segoe UI" w:cs="Segoe UI"/>
          <w:color w:val="222222"/>
          <w:sz w:val="27"/>
          <w:szCs w:val="27"/>
        </w:rPr>
        <w:t>Dalstra</w:t>
      </w:r>
      <w:proofErr w:type="spellEnd"/>
      <w:r>
        <w:rPr>
          <w:rFonts w:ascii="Segoe UI" w:hAnsi="Segoe UI" w:cs="Segoe UI"/>
          <w:color w:val="222222"/>
          <w:sz w:val="27"/>
          <w:szCs w:val="27"/>
        </w:rPr>
        <w:t xml:space="preserve"> JA, Federico B, </w:t>
      </w:r>
      <w:proofErr w:type="spellStart"/>
      <w:r>
        <w:rPr>
          <w:rFonts w:ascii="Segoe UI" w:hAnsi="Segoe UI" w:cs="Segoe UI"/>
          <w:color w:val="222222"/>
          <w:sz w:val="27"/>
          <w:szCs w:val="27"/>
        </w:rPr>
        <w:t>Helmert</w:t>
      </w:r>
      <w:proofErr w:type="spellEnd"/>
      <w:r>
        <w:rPr>
          <w:rFonts w:ascii="Segoe UI" w:hAnsi="Segoe UI" w:cs="Segoe UI"/>
          <w:color w:val="222222"/>
          <w:sz w:val="27"/>
          <w:szCs w:val="27"/>
        </w:rPr>
        <w:t xml:space="preserve"> U, Judge K (2005) Trends in smoking </w:t>
      </w:r>
      <w:proofErr w:type="spellStart"/>
      <w:r>
        <w:rPr>
          <w:rFonts w:ascii="Segoe UI" w:hAnsi="Segoe UI" w:cs="Segoe UI"/>
          <w:color w:val="222222"/>
          <w:sz w:val="27"/>
          <w:szCs w:val="27"/>
        </w:rPr>
        <w:t>behaviour</w:t>
      </w:r>
      <w:proofErr w:type="spellEnd"/>
      <w:r>
        <w:rPr>
          <w:rFonts w:ascii="Segoe UI" w:hAnsi="Segoe UI" w:cs="Segoe UI"/>
          <w:color w:val="222222"/>
          <w:sz w:val="27"/>
          <w:szCs w:val="27"/>
        </w:rPr>
        <w:t xml:space="preserve"> between 1985 and 2000 in nine European countries by education. J </w:t>
      </w:r>
      <w:proofErr w:type="spellStart"/>
      <w:r>
        <w:rPr>
          <w:rFonts w:ascii="Segoe UI" w:hAnsi="Segoe UI" w:cs="Segoe UI"/>
          <w:color w:val="222222"/>
          <w:sz w:val="27"/>
          <w:szCs w:val="27"/>
        </w:rPr>
        <w:t>Epidemiol</w:t>
      </w:r>
      <w:proofErr w:type="spellEnd"/>
      <w:r>
        <w:rPr>
          <w:rFonts w:ascii="Segoe UI" w:hAnsi="Segoe UI" w:cs="Segoe UI"/>
          <w:color w:val="222222"/>
          <w:sz w:val="27"/>
          <w:szCs w:val="27"/>
        </w:rPr>
        <w:t xml:space="preserve"> </w:t>
      </w:r>
      <w:proofErr w:type="spellStart"/>
      <w:r>
        <w:rPr>
          <w:rFonts w:ascii="Segoe UI" w:hAnsi="Segoe UI" w:cs="Segoe UI"/>
          <w:color w:val="222222"/>
          <w:sz w:val="27"/>
          <w:szCs w:val="27"/>
        </w:rPr>
        <w:t>Commun</w:t>
      </w:r>
      <w:proofErr w:type="spellEnd"/>
      <w:r>
        <w:rPr>
          <w:rFonts w:ascii="Segoe UI" w:hAnsi="Segoe UI" w:cs="Segoe UI"/>
          <w:color w:val="222222"/>
          <w:sz w:val="27"/>
          <w:szCs w:val="27"/>
        </w:rPr>
        <w:t xml:space="preserve"> Health 59(5):395–401</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96"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97" w:history="1">
        <w:r>
          <w:rPr>
            <w:rStyle w:val="Hyperlink"/>
            <w:rFonts w:ascii="Segoe UI" w:hAnsi="Segoe UI" w:cs="Segoe UI"/>
            <w:b/>
            <w:bCs/>
            <w:color w:val="006699"/>
            <w:sz w:val="27"/>
            <w:szCs w:val="27"/>
          </w:rPr>
          <w:t>CAS</w:t>
        </w:r>
      </w:hyperlink>
      <w:r>
        <w:rPr>
          <w:rFonts w:ascii="Segoe UI" w:hAnsi="Segoe UI" w:cs="Segoe UI"/>
          <w:b/>
          <w:bCs/>
          <w:color w:val="222222"/>
          <w:sz w:val="27"/>
          <w:szCs w:val="27"/>
        </w:rPr>
        <w:t> </w:t>
      </w:r>
      <w:hyperlink r:id="rId98"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Glied</w:t>
      </w:r>
      <w:proofErr w:type="spellEnd"/>
      <w:r>
        <w:rPr>
          <w:rFonts w:ascii="Segoe UI" w:hAnsi="Segoe UI" w:cs="Segoe UI"/>
          <w:color w:val="222222"/>
          <w:sz w:val="27"/>
          <w:szCs w:val="27"/>
        </w:rPr>
        <w:t xml:space="preserve"> S, </w:t>
      </w:r>
      <w:proofErr w:type="spellStart"/>
      <w:r>
        <w:rPr>
          <w:rFonts w:ascii="Segoe UI" w:hAnsi="Segoe UI" w:cs="Segoe UI"/>
          <w:color w:val="222222"/>
          <w:sz w:val="27"/>
          <w:szCs w:val="27"/>
        </w:rPr>
        <w:t>Lleras-Muney</w:t>
      </w:r>
      <w:proofErr w:type="spellEnd"/>
      <w:r>
        <w:rPr>
          <w:rFonts w:ascii="Segoe UI" w:hAnsi="Segoe UI" w:cs="Segoe UI"/>
          <w:color w:val="222222"/>
          <w:sz w:val="27"/>
          <w:szCs w:val="27"/>
        </w:rPr>
        <w:t xml:space="preserve"> A (2008) Technological innovation and inequality in health. Demography 45(3):741–761</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99"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00"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Gu</w:t>
      </w:r>
      <w:proofErr w:type="spellEnd"/>
      <w:r>
        <w:rPr>
          <w:rFonts w:ascii="Segoe UI" w:hAnsi="Segoe UI" w:cs="Segoe UI"/>
          <w:color w:val="222222"/>
          <w:sz w:val="27"/>
          <w:szCs w:val="27"/>
        </w:rPr>
        <w:t xml:space="preserve"> T, Mack JA, Salvatore M, </w:t>
      </w:r>
      <w:proofErr w:type="spellStart"/>
      <w:r>
        <w:rPr>
          <w:rFonts w:ascii="Segoe UI" w:hAnsi="Segoe UI" w:cs="Segoe UI"/>
          <w:color w:val="222222"/>
          <w:sz w:val="27"/>
          <w:szCs w:val="27"/>
        </w:rPr>
        <w:t>Prabhu</w:t>
      </w:r>
      <w:proofErr w:type="spellEnd"/>
      <w:r>
        <w:rPr>
          <w:rFonts w:ascii="Segoe UI" w:hAnsi="Segoe UI" w:cs="Segoe UI"/>
          <w:color w:val="222222"/>
          <w:sz w:val="27"/>
          <w:szCs w:val="27"/>
        </w:rPr>
        <w:t xml:space="preserve"> </w:t>
      </w:r>
      <w:proofErr w:type="spellStart"/>
      <w:r>
        <w:rPr>
          <w:rFonts w:ascii="Segoe UI" w:hAnsi="Segoe UI" w:cs="Segoe UI"/>
          <w:color w:val="222222"/>
          <w:sz w:val="27"/>
          <w:szCs w:val="27"/>
        </w:rPr>
        <w:t>Sankar</w:t>
      </w:r>
      <w:proofErr w:type="spellEnd"/>
      <w:r>
        <w:rPr>
          <w:rFonts w:ascii="Segoe UI" w:hAnsi="Segoe UI" w:cs="Segoe UI"/>
          <w:color w:val="222222"/>
          <w:sz w:val="27"/>
          <w:szCs w:val="27"/>
        </w:rPr>
        <w:t xml:space="preserve"> S, Valley TS, Singh K, </w:t>
      </w:r>
      <w:proofErr w:type="spellStart"/>
      <w:r>
        <w:rPr>
          <w:rFonts w:ascii="Segoe UI" w:hAnsi="Segoe UI" w:cs="Segoe UI"/>
          <w:color w:val="222222"/>
          <w:sz w:val="27"/>
          <w:szCs w:val="27"/>
        </w:rPr>
        <w:t>Nallamothu</w:t>
      </w:r>
      <w:proofErr w:type="spellEnd"/>
      <w:r>
        <w:rPr>
          <w:rFonts w:ascii="Segoe UI" w:hAnsi="Segoe UI" w:cs="Segoe UI"/>
          <w:color w:val="222222"/>
          <w:sz w:val="27"/>
          <w:szCs w:val="27"/>
        </w:rPr>
        <w:t xml:space="preserve"> BK, </w:t>
      </w:r>
      <w:proofErr w:type="spellStart"/>
      <w:r>
        <w:rPr>
          <w:rFonts w:ascii="Segoe UI" w:hAnsi="Segoe UI" w:cs="Segoe UI"/>
          <w:color w:val="222222"/>
          <w:sz w:val="27"/>
          <w:szCs w:val="27"/>
        </w:rPr>
        <w:t>Kheterpal</w:t>
      </w:r>
      <w:proofErr w:type="spellEnd"/>
      <w:r>
        <w:rPr>
          <w:rFonts w:ascii="Segoe UI" w:hAnsi="Segoe UI" w:cs="Segoe UI"/>
          <w:color w:val="222222"/>
          <w:sz w:val="27"/>
          <w:szCs w:val="27"/>
        </w:rPr>
        <w:t xml:space="preserve"> S, </w:t>
      </w:r>
      <w:proofErr w:type="spellStart"/>
      <w:r>
        <w:rPr>
          <w:rFonts w:ascii="Segoe UI" w:hAnsi="Segoe UI" w:cs="Segoe UI"/>
          <w:color w:val="222222"/>
          <w:sz w:val="27"/>
          <w:szCs w:val="27"/>
        </w:rPr>
        <w:t>Lisabeth</w:t>
      </w:r>
      <w:proofErr w:type="spellEnd"/>
      <w:r>
        <w:rPr>
          <w:rFonts w:ascii="Segoe UI" w:hAnsi="Segoe UI" w:cs="Segoe UI"/>
          <w:color w:val="222222"/>
          <w:sz w:val="27"/>
          <w:szCs w:val="27"/>
        </w:rPr>
        <w:t xml:space="preserve"> L, </w:t>
      </w:r>
      <w:proofErr w:type="spellStart"/>
      <w:r>
        <w:rPr>
          <w:rFonts w:ascii="Segoe UI" w:hAnsi="Segoe UI" w:cs="Segoe UI"/>
          <w:color w:val="222222"/>
          <w:sz w:val="27"/>
          <w:szCs w:val="27"/>
        </w:rPr>
        <w:t>Fritsche</w:t>
      </w:r>
      <w:proofErr w:type="spellEnd"/>
      <w:r>
        <w:rPr>
          <w:rFonts w:ascii="Segoe UI" w:hAnsi="Segoe UI" w:cs="Segoe UI"/>
          <w:color w:val="222222"/>
          <w:sz w:val="27"/>
          <w:szCs w:val="27"/>
        </w:rPr>
        <w:t xml:space="preserve"> LG, Mukherjee B (2020) Characteristics associated with racial/ethnic disparities in COVID-19 outcomes in an academic health care system. JAMA Network Open 3(10):e2025197–e2025197. </w:t>
      </w:r>
      <w:hyperlink r:id="rId101" w:history="1">
        <w:r>
          <w:rPr>
            <w:rStyle w:val="Hyperlink"/>
            <w:rFonts w:ascii="Segoe UI" w:hAnsi="Segoe UI" w:cs="Segoe UI"/>
            <w:color w:val="006699"/>
            <w:sz w:val="27"/>
            <w:szCs w:val="27"/>
          </w:rPr>
          <w:t>https://doi.org/10.1001/jamanetworkopen.2020.25197</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02"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03" w:history="1">
        <w:r>
          <w:rPr>
            <w:rStyle w:val="Hyperlink"/>
            <w:rFonts w:ascii="Segoe UI" w:hAnsi="Segoe UI" w:cs="Segoe UI"/>
            <w:b/>
            <w:bCs/>
            <w:color w:val="006699"/>
            <w:sz w:val="27"/>
            <w:szCs w:val="27"/>
          </w:rPr>
          <w:t>PubMed</w:t>
        </w:r>
      </w:hyperlink>
      <w:r>
        <w:rPr>
          <w:rFonts w:ascii="Segoe UI" w:hAnsi="Segoe UI" w:cs="Segoe UI"/>
          <w:b/>
          <w:bCs/>
          <w:color w:val="222222"/>
          <w:sz w:val="27"/>
          <w:szCs w:val="27"/>
        </w:rPr>
        <w:t> </w:t>
      </w:r>
      <w:proofErr w:type="spellStart"/>
      <w:r>
        <w:rPr>
          <w:rFonts w:ascii="Segoe UI" w:hAnsi="Segoe UI" w:cs="Segoe UI"/>
          <w:b/>
          <w:bCs/>
          <w:color w:val="222222"/>
          <w:sz w:val="27"/>
          <w:szCs w:val="27"/>
        </w:rPr>
        <w:fldChar w:fldCharType="begin"/>
      </w:r>
      <w:r>
        <w:rPr>
          <w:rFonts w:ascii="Segoe UI" w:hAnsi="Segoe UI" w:cs="Segoe UI"/>
          <w:b/>
          <w:bCs/>
          <w:color w:val="222222"/>
          <w:sz w:val="27"/>
          <w:szCs w:val="27"/>
        </w:rPr>
        <w:instrText xml:space="preserve"> HYPERLINK "http://www.ncbi.nlm.nih.gov/pmc/articles/PMC7578774" </w:instrText>
      </w:r>
      <w:r>
        <w:rPr>
          <w:rFonts w:ascii="Segoe UI" w:hAnsi="Segoe UI" w:cs="Segoe UI"/>
          <w:b/>
          <w:bCs/>
          <w:color w:val="222222"/>
          <w:sz w:val="27"/>
          <w:szCs w:val="27"/>
        </w:rPr>
        <w:fldChar w:fldCharType="separate"/>
      </w:r>
      <w:r>
        <w:rPr>
          <w:rStyle w:val="Hyperlink"/>
          <w:rFonts w:ascii="Segoe UI" w:hAnsi="Segoe UI" w:cs="Segoe UI"/>
          <w:b/>
          <w:bCs/>
          <w:color w:val="006699"/>
          <w:sz w:val="27"/>
          <w:szCs w:val="27"/>
        </w:rPr>
        <w:t>PubMed</w:t>
      </w:r>
      <w:proofErr w:type="spellEnd"/>
      <w:r>
        <w:rPr>
          <w:rStyle w:val="Hyperlink"/>
          <w:rFonts w:ascii="Segoe UI" w:hAnsi="Segoe UI" w:cs="Segoe UI"/>
          <w:b/>
          <w:bCs/>
          <w:color w:val="006699"/>
          <w:sz w:val="27"/>
          <w:szCs w:val="27"/>
        </w:rPr>
        <w:t xml:space="preserve"> Central</w:t>
      </w:r>
      <w:r>
        <w:rPr>
          <w:rFonts w:ascii="Segoe UI" w:hAnsi="Segoe UI" w:cs="Segoe UI"/>
          <w:b/>
          <w:bCs/>
          <w:color w:val="222222"/>
          <w:sz w:val="27"/>
          <w:szCs w:val="27"/>
        </w:rPr>
        <w:fldChar w:fldCharType="end"/>
      </w:r>
      <w:r>
        <w:rPr>
          <w:rFonts w:ascii="Segoe UI" w:hAnsi="Segoe UI" w:cs="Segoe UI"/>
          <w:b/>
          <w:bCs/>
          <w:color w:val="222222"/>
          <w:sz w:val="27"/>
          <w:szCs w:val="27"/>
        </w:rPr>
        <w:t> </w:t>
      </w:r>
      <w:hyperlink r:id="rId104"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Harris B (2004) Public health, nutrition, and the decline of mortality: The </w:t>
      </w:r>
      <w:proofErr w:type="spellStart"/>
      <w:r>
        <w:rPr>
          <w:rFonts w:ascii="Segoe UI" w:hAnsi="Segoe UI" w:cs="Segoe UI"/>
          <w:color w:val="222222"/>
          <w:sz w:val="27"/>
          <w:szCs w:val="27"/>
        </w:rPr>
        <w:t>McKeown</w:t>
      </w:r>
      <w:proofErr w:type="spellEnd"/>
      <w:r>
        <w:rPr>
          <w:rFonts w:ascii="Segoe UI" w:hAnsi="Segoe UI" w:cs="Segoe UI"/>
          <w:color w:val="222222"/>
          <w:sz w:val="27"/>
          <w:szCs w:val="27"/>
        </w:rPr>
        <w:t xml:space="preserve"> thesis revisited. </w:t>
      </w:r>
      <w:proofErr w:type="spellStart"/>
      <w:r>
        <w:rPr>
          <w:rFonts w:ascii="Segoe UI" w:hAnsi="Segoe UI" w:cs="Segoe UI"/>
          <w:color w:val="222222"/>
          <w:sz w:val="27"/>
          <w:szCs w:val="27"/>
        </w:rPr>
        <w:t>Soc</w:t>
      </w:r>
      <w:proofErr w:type="spellEnd"/>
      <w:r>
        <w:rPr>
          <w:rFonts w:ascii="Segoe UI" w:hAnsi="Segoe UI" w:cs="Segoe UI"/>
          <w:color w:val="222222"/>
          <w:sz w:val="27"/>
          <w:szCs w:val="27"/>
        </w:rPr>
        <w:t xml:space="preserve"> </w:t>
      </w:r>
      <w:proofErr w:type="spellStart"/>
      <w:r>
        <w:rPr>
          <w:rFonts w:ascii="Segoe UI" w:hAnsi="Segoe UI" w:cs="Segoe UI"/>
          <w:color w:val="222222"/>
          <w:sz w:val="27"/>
          <w:szCs w:val="27"/>
        </w:rPr>
        <w:t>Hist</w:t>
      </w:r>
      <w:proofErr w:type="spellEnd"/>
      <w:r>
        <w:rPr>
          <w:rFonts w:ascii="Segoe UI" w:hAnsi="Segoe UI" w:cs="Segoe UI"/>
          <w:color w:val="222222"/>
          <w:sz w:val="27"/>
          <w:szCs w:val="27"/>
        </w:rPr>
        <w:t xml:space="preserve"> Med 17:379–407. </w:t>
      </w:r>
      <w:hyperlink r:id="rId105" w:history="1">
        <w:r>
          <w:rPr>
            <w:rStyle w:val="Hyperlink"/>
            <w:rFonts w:ascii="Segoe UI" w:hAnsi="Segoe UI" w:cs="Segoe UI"/>
            <w:color w:val="006699"/>
            <w:sz w:val="27"/>
            <w:szCs w:val="27"/>
          </w:rPr>
          <w:t>https://doi.org/10.1093/shm/17.3.379</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06"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07"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Holder J (2021, January 29). Tracking Coronavirus Vaccinations </w:t>
      </w:r>
      <w:proofErr w:type="gramStart"/>
      <w:r>
        <w:rPr>
          <w:rFonts w:ascii="Segoe UI" w:hAnsi="Segoe UI" w:cs="Segoe UI"/>
          <w:color w:val="222222"/>
          <w:sz w:val="27"/>
          <w:szCs w:val="27"/>
        </w:rPr>
        <w:t>Around</w:t>
      </w:r>
      <w:proofErr w:type="gramEnd"/>
      <w:r>
        <w:rPr>
          <w:rFonts w:ascii="Segoe UI" w:hAnsi="Segoe UI" w:cs="Segoe UI"/>
          <w:color w:val="222222"/>
          <w:sz w:val="27"/>
          <w:szCs w:val="27"/>
        </w:rPr>
        <w:t xml:space="preserve"> the World. The New York Times. </w:t>
      </w:r>
      <w:hyperlink r:id="rId108" w:history="1">
        <w:r>
          <w:rPr>
            <w:rStyle w:val="Hyperlink"/>
            <w:rFonts w:ascii="Segoe UI" w:hAnsi="Segoe UI" w:cs="Segoe UI"/>
            <w:color w:val="006699"/>
            <w:sz w:val="27"/>
            <w:szCs w:val="27"/>
          </w:rPr>
          <w:t>https://www.nytimes.com/interactive/2021/world/covid-vaccinations-tracker.html</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Lazarus JV, </w:t>
      </w:r>
      <w:proofErr w:type="spellStart"/>
      <w:r>
        <w:rPr>
          <w:rFonts w:ascii="Segoe UI" w:hAnsi="Segoe UI" w:cs="Segoe UI"/>
          <w:color w:val="222222"/>
          <w:sz w:val="27"/>
          <w:szCs w:val="27"/>
        </w:rPr>
        <w:t>Ratzan</w:t>
      </w:r>
      <w:proofErr w:type="spellEnd"/>
      <w:r>
        <w:rPr>
          <w:rFonts w:ascii="Segoe UI" w:hAnsi="Segoe UI" w:cs="Segoe UI"/>
          <w:color w:val="222222"/>
          <w:sz w:val="27"/>
          <w:szCs w:val="27"/>
        </w:rPr>
        <w:t xml:space="preserve"> SC, </w:t>
      </w:r>
      <w:proofErr w:type="spellStart"/>
      <w:r>
        <w:rPr>
          <w:rFonts w:ascii="Segoe UI" w:hAnsi="Segoe UI" w:cs="Segoe UI"/>
          <w:color w:val="222222"/>
          <w:sz w:val="27"/>
          <w:szCs w:val="27"/>
        </w:rPr>
        <w:t>Palayew</w:t>
      </w:r>
      <w:proofErr w:type="spellEnd"/>
      <w:r>
        <w:rPr>
          <w:rFonts w:ascii="Segoe UI" w:hAnsi="Segoe UI" w:cs="Segoe UI"/>
          <w:color w:val="222222"/>
          <w:sz w:val="27"/>
          <w:szCs w:val="27"/>
        </w:rPr>
        <w:t xml:space="preserve"> A, </w:t>
      </w:r>
      <w:proofErr w:type="spellStart"/>
      <w:r>
        <w:rPr>
          <w:rFonts w:ascii="Segoe UI" w:hAnsi="Segoe UI" w:cs="Segoe UI"/>
          <w:color w:val="222222"/>
          <w:sz w:val="27"/>
          <w:szCs w:val="27"/>
        </w:rPr>
        <w:t>Gostin</w:t>
      </w:r>
      <w:proofErr w:type="spellEnd"/>
      <w:r>
        <w:rPr>
          <w:rFonts w:ascii="Segoe UI" w:hAnsi="Segoe UI" w:cs="Segoe UI"/>
          <w:color w:val="222222"/>
          <w:sz w:val="27"/>
          <w:szCs w:val="27"/>
        </w:rPr>
        <w:t xml:space="preserve"> LO, Larson HJ, Rabin K, Kimball S, El-</w:t>
      </w:r>
      <w:proofErr w:type="spellStart"/>
      <w:r>
        <w:rPr>
          <w:rFonts w:ascii="Segoe UI" w:hAnsi="Segoe UI" w:cs="Segoe UI"/>
          <w:color w:val="222222"/>
          <w:sz w:val="27"/>
          <w:szCs w:val="27"/>
        </w:rPr>
        <w:t>Mohandes</w:t>
      </w:r>
      <w:proofErr w:type="spellEnd"/>
      <w:r>
        <w:rPr>
          <w:rFonts w:ascii="Segoe UI" w:hAnsi="Segoe UI" w:cs="Segoe UI"/>
          <w:color w:val="222222"/>
          <w:sz w:val="27"/>
          <w:szCs w:val="27"/>
        </w:rPr>
        <w:t xml:space="preserve"> A (2021) A global survey of potential acceptance of a </w:t>
      </w:r>
      <w:r>
        <w:rPr>
          <w:rFonts w:ascii="Segoe UI" w:hAnsi="Segoe UI" w:cs="Segoe UI"/>
          <w:color w:val="222222"/>
          <w:sz w:val="27"/>
          <w:szCs w:val="27"/>
        </w:rPr>
        <w:lastRenderedPageBreak/>
        <w:t>COVID-19 vaccine. Nat Med 27(2):225–228. </w:t>
      </w:r>
      <w:hyperlink r:id="rId109" w:history="1">
        <w:r>
          <w:rPr>
            <w:rStyle w:val="Hyperlink"/>
            <w:rFonts w:ascii="Segoe UI" w:hAnsi="Segoe UI" w:cs="Segoe UI"/>
            <w:color w:val="006699"/>
            <w:sz w:val="27"/>
            <w:szCs w:val="27"/>
          </w:rPr>
          <w:t>https://doi.org/10.1038/s41591-020-1124-9</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10"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11" w:history="1">
        <w:r>
          <w:rPr>
            <w:rStyle w:val="Hyperlink"/>
            <w:rFonts w:ascii="Segoe UI" w:hAnsi="Segoe UI" w:cs="Segoe UI"/>
            <w:b/>
            <w:bCs/>
            <w:color w:val="006699"/>
            <w:sz w:val="27"/>
            <w:szCs w:val="27"/>
          </w:rPr>
          <w:t>CAS</w:t>
        </w:r>
      </w:hyperlink>
      <w:r>
        <w:rPr>
          <w:rFonts w:ascii="Segoe UI" w:hAnsi="Segoe UI" w:cs="Segoe UI"/>
          <w:b/>
          <w:bCs/>
          <w:color w:val="222222"/>
          <w:sz w:val="27"/>
          <w:szCs w:val="27"/>
        </w:rPr>
        <w:t> </w:t>
      </w:r>
      <w:hyperlink r:id="rId112" w:history="1">
        <w:r>
          <w:rPr>
            <w:rStyle w:val="Hyperlink"/>
            <w:rFonts w:ascii="Segoe UI" w:hAnsi="Segoe UI" w:cs="Segoe UI"/>
            <w:b/>
            <w:bCs/>
            <w:color w:val="006699"/>
            <w:sz w:val="27"/>
            <w:szCs w:val="27"/>
          </w:rPr>
          <w:t>PubMed</w:t>
        </w:r>
      </w:hyperlink>
      <w:r>
        <w:rPr>
          <w:rFonts w:ascii="Segoe UI" w:hAnsi="Segoe UI" w:cs="Segoe UI"/>
          <w:b/>
          <w:bCs/>
          <w:color w:val="222222"/>
          <w:sz w:val="27"/>
          <w:szCs w:val="27"/>
        </w:rPr>
        <w:t> </w:t>
      </w:r>
      <w:hyperlink r:id="rId113"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Link BG, Phelan J (1995) Social conditions as fundamental causes of disease J Health </w:t>
      </w:r>
      <w:proofErr w:type="spellStart"/>
      <w:r>
        <w:rPr>
          <w:rFonts w:ascii="Segoe UI" w:hAnsi="Segoe UI" w:cs="Segoe UI"/>
          <w:color w:val="222222"/>
          <w:sz w:val="27"/>
          <w:szCs w:val="27"/>
        </w:rPr>
        <w:t>Soc</w:t>
      </w:r>
      <w:proofErr w:type="spellEnd"/>
      <w:r>
        <w:rPr>
          <w:rFonts w:ascii="Segoe UI" w:hAnsi="Segoe UI" w:cs="Segoe UI"/>
          <w:color w:val="222222"/>
          <w:sz w:val="27"/>
          <w:szCs w:val="27"/>
        </w:rPr>
        <w:t xml:space="preserve"> </w:t>
      </w:r>
      <w:proofErr w:type="spellStart"/>
      <w:r>
        <w:rPr>
          <w:rFonts w:ascii="Segoe UI" w:hAnsi="Segoe UI" w:cs="Segoe UI"/>
          <w:color w:val="222222"/>
          <w:sz w:val="27"/>
          <w:szCs w:val="27"/>
        </w:rPr>
        <w:t>Behav</w:t>
      </w:r>
      <w:proofErr w:type="spellEnd"/>
      <w:r>
        <w:rPr>
          <w:rFonts w:ascii="Segoe UI" w:hAnsi="Segoe UI" w:cs="Segoe UI"/>
          <w:color w:val="222222"/>
          <w:sz w:val="27"/>
          <w:szCs w:val="27"/>
        </w:rPr>
        <w:t xml:space="preserve"> 35:80–94</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14"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15"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Mamelund</w:t>
      </w:r>
      <w:proofErr w:type="spellEnd"/>
      <w:r>
        <w:rPr>
          <w:rFonts w:ascii="Segoe UI" w:hAnsi="Segoe UI" w:cs="Segoe UI"/>
          <w:color w:val="222222"/>
          <w:sz w:val="27"/>
          <w:szCs w:val="27"/>
        </w:rPr>
        <w:t xml:space="preserve"> S-E, </w:t>
      </w:r>
      <w:proofErr w:type="spellStart"/>
      <w:r>
        <w:rPr>
          <w:rFonts w:ascii="Segoe UI" w:hAnsi="Segoe UI" w:cs="Segoe UI"/>
          <w:color w:val="222222"/>
          <w:sz w:val="27"/>
          <w:szCs w:val="27"/>
        </w:rPr>
        <w:t>Dimka</w:t>
      </w:r>
      <w:proofErr w:type="spellEnd"/>
      <w:r>
        <w:rPr>
          <w:rFonts w:ascii="Segoe UI" w:hAnsi="Segoe UI" w:cs="Segoe UI"/>
          <w:color w:val="222222"/>
          <w:sz w:val="27"/>
          <w:szCs w:val="27"/>
        </w:rPr>
        <w:t xml:space="preserve"> J (2021) Social inequalities in infectious diseases. </w:t>
      </w:r>
      <w:proofErr w:type="spellStart"/>
      <w:r>
        <w:rPr>
          <w:rFonts w:ascii="Segoe UI" w:hAnsi="Segoe UI" w:cs="Segoe UI"/>
          <w:color w:val="222222"/>
          <w:sz w:val="27"/>
          <w:szCs w:val="27"/>
        </w:rPr>
        <w:t>Scand</w:t>
      </w:r>
      <w:proofErr w:type="spellEnd"/>
      <w:r>
        <w:rPr>
          <w:rFonts w:ascii="Segoe UI" w:hAnsi="Segoe UI" w:cs="Segoe UI"/>
          <w:color w:val="222222"/>
          <w:sz w:val="27"/>
          <w:szCs w:val="27"/>
        </w:rPr>
        <w:t xml:space="preserve"> J Public Health, 1403494821997228. </w:t>
      </w:r>
      <w:hyperlink r:id="rId116" w:history="1">
        <w:r>
          <w:rPr>
            <w:rStyle w:val="Hyperlink"/>
            <w:rFonts w:ascii="Segoe UI" w:hAnsi="Segoe UI" w:cs="Segoe UI"/>
            <w:color w:val="006699"/>
            <w:sz w:val="27"/>
            <w:szCs w:val="27"/>
          </w:rPr>
          <w:t>https://doi.org/10.1177/1403494821997228</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Ndugga</w:t>
      </w:r>
      <w:proofErr w:type="spellEnd"/>
      <w:r>
        <w:rPr>
          <w:rFonts w:ascii="Segoe UI" w:hAnsi="Segoe UI" w:cs="Segoe UI"/>
          <w:color w:val="222222"/>
          <w:sz w:val="27"/>
          <w:szCs w:val="27"/>
        </w:rPr>
        <w:t xml:space="preserve"> N, Pham O, Hill L, </w:t>
      </w:r>
      <w:proofErr w:type="spellStart"/>
      <w:r>
        <w:rPr>
          <w:rFonts w:ascii="Segoe UI" w:hAnsi="Segoe UI" w:cs="Segoe UI"/>
          <w:color w:val="222222"/>
          <w:sz w:val="27"/>
          <w:szCs w:val="27"/>
        </w:rPr>
        <w:t>Artiga</w:t>
      </w:r>
      <w:proofErr w:type="spellEnd"/>
      <w:r>
        <w:rPr>
          <w:rFonts w:ascii="Segoe UI" w:hAnsi="Segoe UI" w:cs="Segoe UI"/>
          <w:color w:val="222222"/>
          <w:sz w:val="27"/>
          <w:szCs w:val="27"/>
        </w:rPr>
        <w:t xml:space="preserve"> S, </w:t>
      </w:r>
      <w:proofErr w:type="spellStart"/>
      <w:r>
        <w:rPr>
          <w:rFonts w:ascii="Segoe UI" w:hAnsi="Segoe UI" w:cs="Segoe UI"/>
          <w:color w:val="222222"/>
          <w:sz w:val="27"/>
          <w:szCs w:val="27"/>
        </w:rPr>
        <w:t>Mengistu</w:t>
      </w:r>
      <w:proofErr w:type="spellEnd"/>
      <w:r>
        <w:rPr>
          <w:rFonts w:ascii="Segoe UI" w:hAnsi="Segoe UI" w:cs="Segoe UI"/>
          <w:color w:val="222222"/>
          <w:sz w:val="27"/>
          <w:szCs w:val="27"/>
        </w:rPr>
        <w:t xml:space="preserve"> S (2021, January 21). Early state vaccination data raise warning flags for racial equity. KFF. </w:t>
      </w:r>
      <w:hyperlink r:id="rId117" w:history="1">
        <w:r>
          <w:rPr>
            <w:rStyle w:val="Hyperlink"/>
            <w:rFonts w:ascii="Segoe UI" w:hAnsi="Segoe UI" w:cs="Segoe UI"/>
            <w:color w:val="006699"/>
            <w:sz w:val="27"/>
            <w:szCs w:val="27"/>
          </w:rPr>
          <w:t>https://www.kff.org/policy-watch/early-state-vaccination-data-raise-warning-flags-racial-equity/</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Øversveen</w:t>
      </w:r>
      <w:proofErr w:type="spellEnd"/>
      <w:r>
        <w:rPr>
          <w:rFonts w:ascii="Segoe UI" w:hAnsi="Segoe UI" w:cs="Segoe UI"/>
          <w:color w:val="222222"/>
          <w:sz w:val="27"/>
          <w:szCs w:val="27"/>
        </w:rPr>
        <w:t xml:space="preserve"> E (2021) Need, competence and compliance: Selective empowering in the distribution of medical technologies in the Norwegian health care system. </w:t>
      </w:r>
      <w:proofErr w:type="spellStart"/>
      <w:r>
        <w:rPr>
          <w:rFonts w:ascii="Segoe UI" w:hAnsi="Segoe UI" w:cs="Segoe UI"/>
          <w:color w:val="222222"/>
          <w:sz w:val="27"/>
          <w:szCs w:val="27"/>
        </w:rPr>
        <w:t>Acta</w:t>
      </w:r>
      <w:proofErr w:type="spellEnd"/>
      <w:r>
        <w:rPr>
          <w:rFonts w:ascii="Segoe UI" w:hAnsi="Segoe UI" w:cs="Segoe UI"/>
          <w:color w:val="222222"/>
          <w:sz w:val="27"/>
          <w:szCs w:val="27"/>
        </w:rPr>
        <w:t xml:space="preserve"> </w:t>
      </w:r>
      <w:proofErr w:type="spellStart"/>
      <w:r>
        <w:rPr>
          <w:rFonts w:ascii="Segoe UI" w:hAnsi="Segoe UI" w:cs="Segoe UI"/>
          <w:color w:val="222222"/>
          <w:sz w:val="27"/>
          <w:szCs w:val="27"/>
        </w:rPr>
        <w:t>Sociol</w:t>
      </w:r>
      <w:proofErr w:type="spellEnd"/>
      <w:r>
        <w:rPr>
          <w:rFonts w:ascii="Segoe UI" w:hAnsi="Segoe UI" w:cs="Segoe UI"/>
          <w:color w:val="222222"/>
          <w:sz w:val="27"/>
          <w:szCs w:val="27"/>
        </w:rPr>
        <w:t xml:space="preserve"> 64(2):184–197</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18"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19"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Painter EM (2021) Demographic characteristics of persons vaccinated during the first month of the COVID-19 vaccination program—United States, December 14, 2020–January 14, 2021. MMWR. Morbidity and Mortality Weekly Report, 70. </w:t>
      </w:r>
      <w:hyperlink r:id="rId120" w:history="1">
        <w:r>
          <w:rPr>
            <w:rStyle w:val="Hyperlink"/>
            <w:rFonts w:ascii="Segoe UI" w:hAnsi="Segoe UI" w:cs="Segoe UI"/>
            <w:color w:val="006699"/>
            <w:sz w:val="27"/>
            <w:szCs w:val="27"/>
          </w:rPr>
          <w:t>https://doi.org/10.15585/mmwr.mm7005e1</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Pampel</w:t>
      </w:r>
      <w:proofErr w:type="spellEnd"/>
      <w:r>
        <w:rPr>
          <w:rFonts w:ascii="Segoe UI" w:hAnsi="Segoe UI" w:cs="Segoe UI"/>
          <w:color w:val="222222"/>
          <w:sz w:val="27"/>
          <w:szCs w:val="27"/>
        </w:rPr>
        <w:t xml:space="preserve"> FC (2002) Inequality, diffusion, and the status gradient in smoking. </w:t>
      </w:r>
      <w:proofErr w:type="spellStart"/>
      <w:r>
        <w:rPr>
          <w:rFonts w:ascii="Segoe UI" w:hAnsi="Segoe UI" w:cs="Segoe UI"/>
          <w:color w:val="222222"/>
          <w:sz w:val="27"/>
          <w:szCs w:val="27"/>
        </w:rPr>
        <w:t>Soc</w:t>
      </w:r>
      <w:proofErr w:type="spellEnd"/>
      <w:r>
        <w:rPr>
          <w:rFonts w:ascii="Segoe UI" w:hAnsi="Segoe UI" w:cs="Segoe UI"/>
          <w:color w:val="222222"/>
          <w:sz w:val="27"/>
          <w:szCs w:val="27"/>
        </w:rPr>
        <w:t xml:space="preserve"> Problems 49(1):35–57. </w:t>
      </w:r>
      <w:hyperlink r:id="rId121" w:history="1">
        <w:r>
          <w:rPr>
            <w:rStyle w:val="Hyperlink"/>
            <w:rFonts w:ascii="Segoe UI" w:hAnsi="Segoe UI" w:cs="Segoe UI"/>
            <w:color w:val="006699"/>
            <w:sz w:val="27"/>
            <w:szCs w:val="27"/>
          </w:rPr>
          <w:t>https://doi.org/10.1525/sp.2002.49.1.35</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22"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23"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lastRenderedPageBreak/>
        <w:t xml:space="preserve">Price-Haywood EG, Burton J, Fort D, </w:t>
      </w:r>
      <w:proofErr w:type="spellStart"/>
      <w:r>
        <w:rPr>
          <w:rFonts w:ascii="Segoe UI" w:hAnsi="Segoe UI" w:cs="Segoe UI"/>
          <w:color w:val="222222"/>
          <w:sz w:val="27"/>
          <w:szCs w:val="27"/>
        </w:rPr>
        <w:t>Seoane</w:t>
      </w:r>
      <w:proofErr w:type="spellEnd"/>
      <w:r>
        <w:rPr>
          <w:rFonts w:ascii="Segoe UI" w:hAnsi="Segoe UI" w:cs="Segoe UI"/>
          <w:color w:val="222222"/>
          <w:sz w:val="27"/>
          <w:szCs w:val="27"/>
        </w:rPr>
        <w:t xml:space="preserve"> L (2020) Hospitalization and mortality among black patients and white patients with Covid-19. New </w:t>
      </w:r>
      <w:proofErr w:type="spellStart"/>
      <w:r>
        <w:rPr>
          <w:rFonts w:ascii="Segoe UI" w:hAnsi="Segoe UI" w:cs="Segoe UI"/>
          <w:color w:val="222222"/>
          <w:sz w:val="27"/>
          <w:szCs w:val="27"/>
        </w:rPr>
        <w:t>Engl</w:t>
      </w:r>
      <w:proofErr w:type="spellEnd"/>
      <w:r>
        <w:rPr>
          <w:rFonts w:ascii="Segoe UI" w:hAnsi="Segoe UI" w:cs="Segoe UI"/>
          <w:color w:val="222222"/>
          <w:sz w:val="27"/>
          <w:szCs w:val="27"/>
        </w:rPr>
        <w:t xml:space="preserve"> J Med 382(26):2534–2543. </w:t>
      </w:r>
      <w:hyperlink r:id="rId124" w:history="1">
        <w:r>
          <w:rPr>
            <w:rStyle w:val="Hyperlink"/>
            <w:rFonts w:ascii="Segoe UI" w:hAnsi="Segoe UI" w:cs="Segoe UI"/>
            <w:color w:val="006699"/>
            <w:sz w:val="27"/>
            <w:szCs w:val="27"/>
          </w:rPr>
          <w:t>https://doi.org/10.1056/NEJMsa2011686</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25"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26" w:history="1">
        <w:r>
          <w:rPr>
            <w:rStyle w:val="Hyperlink"/>
            <w:rFonts w:ascii="Segoe UI" w:hAnsi="Segoe UI" w:cs="Segoe UI"/>
            <w:b/>
            <w:bCs/>
            <w:color w:val="006699"/>
            <w:sz w:val="27"/>
            <w:szCs w:val="27"/>
          </w:rPr>
          <w:t>CAS</w:t>
        </w:r>
      </w:hyperlink>
      <w:r>
        <w:rPr>
          <w:rFonts w:ascii="Segoe UI" w:hAnsi="Segoe UI" w:cs="Segoe UI"/>
          <w:b/>
          <w:bCs/>
          <w:color w:val="222222"/>
          <w:sz w:val="27"/>
          <w:szCs w:val="27"/>
        </w:rPr>
        <w:t> </w:t>
      </w:r>
      <w:hyperlink r:id="rId127" w:history="1">
        <w:r>
          <w:rPr>
            <w:rStyle w:val="Hyperlink"/>
            <w:rFonts w:ascii="Segoe UI" w:hAnsi="Segoe UI" w:cs="Segoe UI"/>
            <w:b/>
            <w:bCs/>
            <w:color w:val="006699"/>
            <w:sz w:val="27"/>
            <w:szCs w:val="27"/>
          </w:rPr>
          <w:t>PubMed</w:t>
        </w:r>
      </w:hyperlink>
      <w:r>
        <w:rPr>
          <w:rFonts w:ascii="Segoe UI" w:hAnsi="Segoe UI" w:cs="Segoe UI"/>
          <w:b/>
          <w:bCs/>
          <w:color w:val="222222"/>
          <w:sz w:val="27"/>
          <w:szCs w:val="27"/>
        </w:rPr>
        <w:t> </w:t>
      </w:r>
      <w:hyperlink r:id="rId128"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Rogers EM (2010) Diffusion of innovations. Simon and Schuster</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Schellekens</w:t>
      </w:r>
      <w:proofErr w:type="spellEnd"/>
      <w:r>
        <w:rPr>
          <w:rFonts w:ascii="Segoe UI" w:hAnsi="Segoe UI" w:cs="Segoe UI"/>
          <w:color w:val="222222"/>
          <w:sz w:val="27"/>
          <w:szCs w:val="27"/>
        </w:rPr>
        <w:t xml:space="preserve"> P, </w:t>
      </w:r>
      <w:proofErr w:type="spellStart"/>
      <w:r>
        <w:rPr>
          <w:rFonts w:ascii="Segoe UI" w:hAnsi="Segoe UI" w:cs="Segoe UI"/>
          <w:color w:val="222222"/>
          <w:sz w:val="27"/>
          <w:szCs w:val="27"/>
        </w:rPr>
        <w:t>Wadhwa</w:t>
      </w:r>
      <w:proofErr w:type="spellEnd"/>
      <w:r>
        <w:rPr>
          <w:rFonts w:ascii="Segoe UI" w:hAnsi="Segoe UI" w:cs="Segoe UI"/>
          <w:color w:val="222222"/>
          <w:sz w:val="27"/>
          <w:szCs w:val="27"/>
        </w:rPr>
        <w:t xml:space="preserve"> D (2021) Relative severity of COVID-19 mortality: a new indicator on the World Bank’s data platform. </w:t>
      </w:r>
      <w:hyperlink r:id="rId129" w:history="1">
        <w:r>
          <w:rPr>
            <w:rStyle w:val="Hyperlink"/>
            <w:rFonts w:ascii="Segoe UI" w:hAnsi="Segoe UI" w:cs="Segoe UI"/>
            <w:color w:val="006699"/>
            <w:sz w:val="27"/>
            <w:szCs w:val="27"/>
          </w:rPr>
          <w:t>https://blogs.worldbank.org/opendata/relative-severity-covid-19-mortality-new-indicator-world-banks-data-platform</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Smith </w:t>
      </w:r>
      <w:proofErr w:type="spellStart"/>
      <w:r>
        <w:rPr>
          <w:rFonts w:ascii="Segoe UI" w:hAnsi="Segoe UI" w:cs="Segoe UI"/>
          <w:color w:val="222222"/>
          <w:sz w:val="27"/>
          <w:szCs w:val="27"/>
        </w:rPr>
        <w:t>Jervelund</w:t>
      </w:r>
      <w:proofErr w:type="spellEnd"/>
      <w:r>
        <w:rPr>
          <w:rFonts w:ascii="Segoe UI" w:hAnsi="Segoe UI" w:cs="Segoe UI"/>
          <w:color w:val="222222"/>
          <w:sz w:val="27"/>
          <w:szCs w:val="27"/>
        </w:rPr>
        <w:t xml:space="preserve"> S, </w:t>
      </w:r>
      <w:proofErr w:type="spellStart"/>
      <w:r>
        <w:rPr>
          <w:rFonts w:ascii="Segoe UI" w:hAnsi="Segoe UI" w:cs="Segoe UI"/>
          <w:color w:val="222222"/>
          <w:sz w:val="27"/>
          <w:szCs w:val="27"/>
        </w:rPr>
        <w:t>Eikemo</w:t>
      </w:r>
      <w:proofErr w:type="spellEnd"/>
      <w:r>
        <w:rPr>
          <w:rFonts w:ascii="Segoe UI" w:hAnsi="Segoe UI" w:cs="Segoe UI"/>
          <w:color w:val="222222"/>
          <w:sz w:val="27"/>
          <w:szCs w:val="27"/>
        </w:rPr>
        <w:t xml:space="preserve"> TA (2021) </w:t>
      </w:r>
      <w:proofErr w:type="gramStart"/>
      <w:r>
        <w:rPr>
          <w:rFonts w:ascii="Segoe UI" w:hAnsi="Segoe UI" w:cs="Segoe UI"/>
          <w:color w:val="222222"/>
          <w:sz w:val="27"/>
          <w:szCs w:val="27"/>
        </w:rPr>
        <w:t>The</w:t>
      </w:r>
      <w:proofErr w:type="gramEnd"/>
      <w:r>
        <w:rPr>
          <w:rFonts w:ascii="Segoe UI" w:hAnsi="Segoe UI" w:cs="Segoe UI"/>
          <w:color w:val="222222"/>
          <w:sz w:val="27"/>
          <w:szCs w:val="27"/>
        </w:rPr>
        <w:t xml:space="preserve"> double burden of COVID-19. </w:t>
      </w:r>
      <w:proofErr w:type="spellStart"/>
      <w:r>
        <w:rPr>
          <w:rFonts w:ascii="Segoe UI" w:hAnsi="Segoe UI" w:cs="Segoe UI"/>
          <w:color w:val="222222"/>
          <w:sz w:val="27"/>
          <w:szCs w:val="27"/>
        </w:rPr>
        <w:t>Scand</w:t>
      </w:r>
      <w:proofErr w:type="spellEnd"/>
      <w:r>
        <w:rPr>
          <w:rFonts w:ascii="Segoe UI" w:hAnsi="Segoe UI" w:cs="Segoe UI"/>
          <w:color w:val="222222"/>
          <w:sz w:val="27"/>
          <w:szCs w:val="27"/>
        </w:rPr>
        <w:t xml:space="preserve"> J Public Health 49(1):1–4. </w:t>
      </w:r>
      <w:hyperlink r:id="rId130" w:history="1">
        <w:r>
          <w:rPr>
            <w:rStyle w:val="Hyperlink"/>
            <w:rFonts w:ascii="Segoe UI" w:hAnsi="Segoe UI" w:cs="Segoe UI"/>
            <w:color w:val="006699"/>
            <w:sz w:val="27"/>
            <w:szCs w:val="27"/>
          </w:rPr>
          <w:t>https://doi.org/10.1177/1403494820984702</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31"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32" w:history="1">
        <w:r>
          <w:rPr>
            <w:rStyle w:val="Hyperlink"/>
            <w:rFonts w:ascii="Segoe UI" w:hAnsi="Segoe UI" w:cs="Segoe UI"/>
            <w:b/>
            <w:bCs/>
            <w:color w:val="006699"/>
            <w:sz w:val="27"/>
            <w:szCs w:val="27"/>
          </w:rPr>
          <w:t>PubMed</w:t>
        </w:r>
      </w:hyperlink>
      <w:r>
        <w:rPr>
          <w:rFonts w:ascii="Segoe UI" w:hAnsi="Segoe UI" w:cs="Segoe UI"/>
          <w:b/>
          <w:bCs/>
          <w:color w:val="222222"/>
          <w:sz w:val="27"/>
          <w:szCs w:val="27"/>
        </w:rPr>
        <w:t> </w:t>
      </w:r>
      <w:hyperlink r:id="rId133"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spellStart"/>
      <w:r>
        <w:rPr>
          <w:rFonts w:ascii="Segoe UI" w:hAnsi="Segoe UI" w:cs="Segoe UI"/>
          <w:color w:val="222222"/>
          <w:sz w:val="27"/>
          <w:szCs w:val="27"/>
        </w:rPr>
        <w:t>Storeng</w:t>
      </w:r>
      <w:proofErr w:type="spellEnd"/>
      <w:r>
        <w:rPr>
          <w:rFonts w:ascii="Segoe UI" w:hAnsi="Segoe UI" w:cs="Segoe UI"/>
          <w:color w:val="222222"/>
          <w:sz w:val="27"/>
          <w:szCs w:val="27"/>
        </w:rPr>
        <w:t xml:space="preserve"> KT, de </w:t>
      </w:r>
      <w:proofErr w:type="spellStart"/>
      <w:r>
        <w:rPr>
          <w:rFonts w:ascii="Segoe UI" w:hAnsi="Segoe UI" w:cs="Segoe UI"/>
          <w:color w:val="222222"/>
          <w:sz w:val="27"/>
          <w:szCs w:val="27"/>
        </w:rPr>
        <w:t>Bengy</w:t>
      </w:r>
      <w:proofErr w:type="spellEnd"/>
      <w:r>
        <w:rPr>
          <w:rFonts w:ascii="Segoe UI" w:hAnsi="Segoe UI" w:cs="Segoe UI"/>
          <w:color w:val="222222"/>
          <w:sz w:val="27"/>
          <w:szCs w:val="27"/>
        </w:rPr>
        <w:t xml:space="preserve"> </w:t>
      </w:r>
      <w:proofErr w:type="spellStart"/>
      <w:r>
        <w:rPr>
          <w:rFonts w:ascii="Segoe UI" w:hAnsi="Segoe UI" w:cs="Segoe UI"/>
          <w:color w:val="222222"/>
          <w:sz w:val="27"/>
          <w:szCs w:val="27"/>
        </w:rPr>
        <w:t>Puyvallée</w:t>
      </w:r>
      <w:proofErr w:type="spellEnd"/>
      <w:r>
        <w:rPr>
          <w:rFonts w:ascii="Segoe UI" w:hAnsi="Segoe UI" w:cs="Segoe UI"/>
          <w:color w:val="222222"/>
          <w:sz w:val="27"/>
          <w:szCs w:val="27"/>
        </w:rPr>
        <w:t xml:space="preserve"> A, Stein F (2021) COVAX and the rise of the ‘super public private partnership’ for global health. Glob Public Health 0(0):1–17. </w:t>
      </w:r>
      <w:hyperlink r:id="rId134" w:history="1">
        <w:r>
          <w:rPr>
            <w:rStyle w:val="Hyperlink"/>
            <w:rFonts w:ascii="Segoe UI" w:hAnsi="Segoe UI" w:cs="Segoe UI"/>
            <w:color w:val="006699"/>
            <w:sz w:val="27"/>
            <w:szCs w:val="27"/>
          </w:rPr>
          <w:t>https://doi.org/10.1080/17441692.2021.1987502</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35"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36"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Wang A, </w:t>
      </w:r>
      <w:proofErr w:type="spellStart"/>
      <w:r>
        <w:rPr>
          <w:rFonts w:ascii="Segoe UI" w:hAnsi="Segoe UI" w:cs="Segoe UI"/>
          <w:color w:val="222222"/>
          <w:sz w:val="27"/>
          <w:szCs w:val="27"/>
        </w:rPr>
        <w:t>Clouston</w:t>
      </w:r>
      <w:proofErr w:type="spellEnd"/>
      <w:r>
        <w:rPr>
          <w:rFonts w:ascii="Segoe UI" w:hAnsi="Segoe UI" w:cs="Segoe UI"/>
          <w:color w:val="222222"/>
          <w:sz w:val="27"/>
          <w:szCs w:val="27"/>
        </w:rPr>
        <w:t xml:space="preserve"> SAP, Rubin MS, </w:t>
      </w:r>
      <w:proofErr w:type="spellStart"/>
      <w:r>
        <w:rPr>
          <w:rFonts w:ascii="Segoe UI" w:hAnsi="Segoe UI" w:cs="Segoe UI"/>
          <w:color w:val="222222"/>
          <w:sz w:val="27"/>
          <w:szCs w:val="27"/>
        </w:rPr>
        <w:t>Colen</w:t>
      </w:r>
      <w:proofErr w:type="spellEnd"/>
      <w:r>
        <w:rPr>
          <w:rFonts w:ascii="Segoe UI" w:hAnsi="Segoe UI" w:cs="Segoe UI"/>
          <w:color w:val="222222"/>
          <w:sz w:val="27"/>
          <w:szCs w:val="27"/>
        </w:rPr>
        <w:t xml:space="preserve"> CG, Link BG (2012) Fundamental causes of colorectal cancer mortality: the implications of informational diffusion. Milbank </w:t>
      </w:r>
      <w:proofErr w:type="spellStart"/>
      <w:r>
        <w:rPr>
          <w:rFonts w:ascii="Segoe UI" w:hAnsi="Segoe UI" w:cs="Segoe UI"/>
          <w:color w:val="222222"/>
          <w:sz w:val="27"/>
          <w:szCs w:val="27"/>
        </w:rPr>
        <w:t>Quar</w:t>
      </w:r>
      <w:proofErr w:type="spellEnd"/>
      <w:r>
        <w:rPr>
          <w:rFonts w:ascii="Segoe UI" w:hAnsi="Segoe UI" w:cs="Segoe UI"/>
          <w:color w:val="222222"/>
          <w:sz w:val="27"/>
          <w:szCs w:val="27"/>
        </w:rPr>
        <w:t xml:space="preserve"> 90(3):592–618. </w:t>
      </w:r>
      <w:hyperlink r:id="rId137" w:history="1">
        <w:r>
          <w:rPr>
            <w:rStyle w:val="Hyperlink"/>
            <w:rFonts w:ascii="Segoe UI" w:hAnsi="Segoe UI" w:cs="Segoe UI"/>
            <w:color w:val="006699"/>
            <w:sz w:val="27"/>
            <w:szCs w:val="27"/>
          </w:rPr>
          <w:t>https://doi.org/10.1111/j.1468-0009.2012.00675.x</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38"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39"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Weiss D, </w:t>
      </w:r>
      <w:proofErr w:type="spellStart"/>
      <w:r>
        <w:rPr>
          <w:rFonts w:ascii="Segoe UI" w:hAnsi="Segoe UI" w:cs="Segoe UI"/>
          <w:color w:val="222222"/>
          <w:sz w:val="27"/>
          <w:szCs w:val="27"/>
        </w:rPr>
        <w:t>Sund</w:t>
      </w:r>
      <w:proofErr w:type="spellEnd"/>
      <w:r>
        <w:rPr>
          <w:rFonts w:ascii="Segoe UI" w:hAnsi="Segoe UI" w:cs="Segoe UI"/>
          <w:color w:val="222222"/>
          <w:sz w:val="27"/>
          <w:szCs w:val="27"/>
        </w:rPr>
        <w:t xml:space="preserve"> ER, </w:t>
      </w:r>
      <w:proofErr w:type="spellStart"/>
      <w:r>
        <w:rPr>
          <w:rFonts w:ascii="Segoe UI" w:hAnsi="Segoe UI" w:cs="Segoe UI"/>
          <w:color w:val="222222"/>
          <w:sz w:val="27"/>
          <w:szCs w:val="27"/>
        </w:rPr>
        <w:t>Freese</w:t>
      </w:r>
      <w:proofErr w:type="spellEnd"/>
      <w:r>
        <w:rPr>
          <w:rFonts w:ascii="Segoe UI" w:hAnsi="Segoe UI" w:cs="Segoe UI"/>
          <w:color w:val="222222"/>
          <w:sz w:val="27"/>
          <w:szCs w:val="27"/>
        </w:rPr>
        <w:t xml:space="preserve"> J, </w:t>
      </w:r>
      <w:proofErr w:type="spellStart"/>
      <w:r>
        <w:rPr>
          <w:rFonts w:ascii="Segoe UI" w:hAnsi="Segoe UI" w:cs="Segoe UI"/>
          <w:color w:val="222222"/>
          <w:sz w:val="27"/>
          <w:szCs w:val="27"/>
        </w:rPr>
        <w:t>Krokstad</w:t>
      </w:r>
      <w:proofErr w:type="spellEnd"/>
      <w:r>
        <w:rPr>
          <w:rFonts w:ascii="Segoe UI" w:hAnsi="Segoe UI" w:cs="Segoe UI"/>
          <w:color w:val="222222"/>
          <w:sz w:val="27"/>
          <w:szCs w:val="27"/>
        </w:rPr>
        <w:t xml:space="preserve"> S (2020) </w:t>
      </w:r>
      <w:proofErr w:type="gramStart"/>
      <w:r>
        <w:rPr>
          <w:rFonts w:ascii="Segoe UI" w:hAnsi="Segoe UI" w:cs="Segoe UI"/>
          <w:color w:val="222222"/>
          <w:sz w:val="27"/>
          <w:szCs w:val="27"/>
        </w:rPr>
        <w:t>The</w:t>
      </w:r>
      <w:proofErr w:type="gramEnd"/>
      <w:r>
        <w:rPr>
          <w:rFonts w:ascii="Segoe UI" w:hAnsi="Segoe UI" w:cs="Segoe UI"/>
          <w:color w:val="222222"/>
          <w:sz w:val="27"/>
          <w:szCs w:val="27"/>
        </w:rPr>
        <w:t xml:space="preserve"> diffusion of innovative diabetes technologies as a fundamental cause of social inequalities in health. The Nord‐</w:t>
      </w:r>
      <w:proofErr w:type="spellStart"/>
      <w:r>
        <w:rPr>
          <w:rFonts w:ascii="Segoe UI" w:hAnsi="Segoe UI" w:cs="Segoe UI"/>
          <w:color w:val="222222"/>
          <w:sz w:val="27"/>
          <w:szCs w:val="27"/>
        </w:rPr>
        <w:t>Trøndelag</w:t>
      </w:r>
      <w:proofErr w:type="spellEnd"/>
      <w:r>
        <w:rPr>
          <w:rFonts w:ascii="Segoe UI" w:hAnsi="Segoe UI" w:cs="Segoe UI"/>
          <w:color w:val="222222"/>
          <w:sz w:val="27"/>
          <w:szCs w:val="27"/>
        </w:rPr>
        <w:t xml:space="preserve"> Health Study, Norway. </w:t>
      </w:r>
      <w:proofErr w:type="spellStart"/>
      <w:r>
        <w:rPr>
          <w:rFonts w:ascii="Segoe UI" w:hAnsi="Segoe UI" w:cs="Segoe UI"/>
          <w:color w:val="222222"/>
          <w:sz w:val="27"/>
          <w:szCs w:val="27"/>
        </w:rPr>
        <w:t>Sociol</w:t>
      </w:r>
      <w:proofErr w:type="spellEnd"/>
      <w:r>
        <w:rPr>
          <w:rFonts w:ascii="Segoe UI" w:hAnsi="Segoe UI" w:cs="Segoe UI"/>
          <w:color w:val="222222"/>
          <w:sz w:val="27"/>
          <w:szCs w:val="27"/>
        </w:rPr>
        <w:t xml:space="preserve"> Health Illness 42(7):1548–1565</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40"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41"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proofErr w:type="gramStart"/>
      <w:r>
        <w:rPr>
          <w:rFonts w:ascii="Segoe UI" w:hAnsi="Segoe UI" w:cs="Segoe UI"/>
          <w:color w:val="222222"/>
          <w:sz w:val="27"/>
          <w:szCs w:val="27"/>
        </w:rPr>
        <w:t>WHO</w:t>
      </w:r>
      <w:proofErr w:type="gramEnd"/>
      <w:r>
        <w:rPr>
          <w:rFonts w:ascii="Segoe UI" w:hAnsi="Segoe UI" w:cs="Segoe UI"/>
          <w:color w:val="222222"/>
          <w:sz w:val="27"/>
          <w:szCs w:val="27"/>
        </w:rPr>
        <w:t xml:space="preserve"> (2021) Coronavirus (COVID-19) Dashboard. </w:t>
      </w:r>
      <w:hyperlink r:id="rId142" w:history="1">
        <w:r>
          <w:rPr>
            <w:rStyle w:val="Hyperlink"/>
            <w:rFonts w:ascii="Segoe UI" w:hAnsi="Segoe UI" w:cs="Segoe UI"/>
            <w:color w:val="006699"/>
            <w:sz w:val="27"/>
            <w:szCs w:val="27"/>
          </w:rPr>
          <w:t>https://covid19.who.int</w:t>
        </w:r>
      </w:hyperlink>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 xml:space="preserve">Williamson EJ, Walker AJ, </w:t>
      </w:r>
      <w:proofErr w:type="spellStart"/>
      <w:r>
        <w:rPr>
          <w:rFonts w:ascii="Segoe UI" w:hAnsi="Segoe UI" w:cs="Segoe UI"/>
          <w:color w:val="222222"/>
          <w:sz w:val="27"/>
          <w:szCs w:val="27"/>
        </w:rPr>
        <w:t>Bhaskaran</w:t>
      </w:r>
      <w:proofErr w:type="spellEnd"/>
      <w:r>
        <w:rPr>
          <w:rFonts w:ascii="Segoe UI" w:hAnsi="Segoe UI" w:cs="Segoe UI"/>
          <w:color w:val="222222"/>
          <w:sz w:val="27"/>
          <w:szCs w:val="27"/>
        </w:rPr>
        <w:t xml:space="preserve"> K, Bacon S, Bates C, Morton CE, Curtis HJ, </w:t>
      </w:r>
      <w:proofErr w:type="spellStart"/>
      <w:r>
        <w:rPr>
          <w:rFonts w:ascii="Segoe UI" w:hAnsi="Segoe UI" w:cs="Segoe UI"/>
          <w:color w:val="222222"/>
          <w:sz w:val="27"/>
          <w:szCs w:val="27"/>
        </w:rPr>
        <w:t>Mehrkar</w:t>
      </w:r>
      <w:proofErr w:type="spellEnd"/>
      <w:r>
        <w:rPr>
          <w:rFonts w:ascii="Segoe UI" w:hAnsi="Segoe UI" w:cs="Segoe UI"/>
          <w:color w:val="222222"/>
          <w:sz w:val="27"/>
          <w:szCs w:val="27"/>
        </w:rPr>
        <w:t xml:space="preserve"> A, Evans D, </w:t>
      </w:r>
      <w:proofErr w:type="spellStart"/>
      <w:r>
        <w:rPr>
          <w:rFonts w:ascii="Segoe UI" w:hAnsi="Segoe UI" w:cs="Segoe UI"/>
          <w:color w:val="222222"/>
          <w:sz w:val="27"/>
          <w:szCs w:val="27"/>
        </w:rPr>
        <w:t>Inglesby</w:t>
      </w:r>
      <w:proofErr w:type="spellEnd"/>
      <w:r>
        <w:rPr>
          <w:rFonts w:ascii="Segoe UI" w:hAnsi="Segoe UI" w:cs="Segoe UI"/>
          <w:color w:val="222222"/>
          <w:sz w:val="27"/>
          <w:szCs w:val="27"/>
        </w:rPr>
        <w:t xml:space="preserve"> P, Cockburn J, McDonald HI, </w:t>
      </w:r>
      <w:proofErr w:type="spellStart"/>
      <w:r>
        <w:rPr>
          <w:rFonts w:ascii="Segoe UI" w:hAnsi="Segoe UI" w:cs="Segoe UI"/>
          <w:color w:val="222222"/>
          <w:sz w:val="27"/>
          <w:szCs w:val="27"/>
        </w:rPr>
        <w:t>MacKenna</w:t>
      </w:r>
      <w:proofErr w:type="spellEnd"/>
      <w:r>
        <w:rPr>
          <w:rFonts w:ascii="Segoe UI" w:hAnsi="Segoe UI" w:cs="Segoe UI"/>
          <w:color w:val="222222"/>
          <w:sz w:val="27"/>
          <w:szCs w:val="27"/>
        </w:rPr>
        <w:t xml:space="preserve"> B, Tomlinson L, Douglas IJ, </w:t>
      </w:r>
      <w:proofErr w:type="spellStart"/>
      <w:r>
        <w:rPr>
          <w:rFonts w:ascii="Segoe UI" w:hAnsi="Segoe UI" w:cs="Segoe UI"/>
          <w:color w:val="222222"/>
          <w:sz w:val="27"/>
          <w:szCs w:val="27"/>
        </w:rPr>
        <w:t>Rentsch</w:t>
      </w:r>
      <w:proofErr w:type="spellEnd"/>
      <w:r>
        <w:rPr>
          <w:rFonts w:ascii="Segoe UI" w:hAnsi="Segoe UI" w:cs="Segoe UI"/>
          <w:color w:val="222222"/>
          <w:sz w:val="27"/>
          <w:szCs w:val="27"/>
        </w:rPr>
        <w:t xml:space="preserve"> CT, </w:t>
      </w:r>
      <w:proofErr w:type="spellStart"/>
      <w:r>
        <w:rPr>
          <w:rFonts w:ascii="Segoe UI" w:hAnsi="Segoe UI" w:cs="Segoe UI"/>
          <w:color w:val="222222"/>
          <w:sz w:val="27"/>
          <w:szCs w:val="27"/>
        </w:rPr>
        <w:t>Mathur</w:t>
      </w:r>
      <w:proofErr w:type="spellEnd"/>
      <w:r>
        <w:rPr>
          <w:rFonts w:ascii="Segoe UI" w:hAnsi="Segoe UI" w:cs="Segoe UI"/>
          <w:color w:val="222222"/>
          <w:sz w:val="27"/>
          <w:szCs w:val="27"/>
        </w:rPr>
        <w:t xml:space="preserve"> R, Wong AYS, Grieve R, </w:t>
      </w:r>
      <w:proofErr w:type="spellStart"/>
      <w:r>
        <w:rPr>
          <w:rFonts w:ascii="Segoe UI" w:hAnsi="Segoe UI" w:cs="Segoe UI"/>
          <w:color w:val="222222"/>
          <w:sz w:val="27"/>
          <w:szCs w:val="27"/>
        </w:rPr>
        <w:t>Goldacre</w:t>
      </w:r>
      <w:proofErr w:type="spellEnd"/>
      <w:r>
        <w:rPr>
          <w:rFonts w:ascii="Segoe UI" w:hAnsi="Segoe UI" w:cs="Segoe UI"/>
          <w:color w:val="222222"/>
          <w:sz w:val="27"/>
          <w:szCs w:val="27"/>
        </w:rPr>
        <w:t xml:space="preserve"> B (2020) Factors associated with COVID-19-related death using </w:t>
      </w:r>
      <w:proofErr w:type="spellStart"/>
      <w:r>
        <w:rPr>
          <w:rFonts w:ascii="Segoe UI" w:hAnsi="Segoe UI" w:cs="Segoe UI"/>
          <w:color w:val="222222"/>
          <w:sz w:val="27"/>
          <w:szCs w:val="27"/>
        </w:rPr>
        <w:t>OpenSAFELY</w:t>
      </w:r>
      <w:proofErr w:type="spellEnd"/>
      <w:r>
        <w:rPr>
          <w:rFonts w:ascii="Segoe UI" w:hAnsi="Segoe UI" w:cs="Segoe UI"/>
          <w:color w:val="222222"/>
          <w:sz w:val="27"/>
          <w:szCs w:val="27"/>
        </w:rPr>
        <w:t>. Nature 584(7821):430–436. </w:t>
      </w:r>
      <w:hyperlink r:id="rId143" w:history="1">
        <w:r>
          <w:rPr>
            <w:rStyle w:val="Hyperlink"/>
            <w:rFonts w:ascii="Segoe UI" w:hAnsi="Segoe UI" w:cs="Segoe UI"/>
            <w:color w:val="006699"/>
            <w:sz w:val="27"/>
            <w:szCs w:val="27"/>
          </w:rPr>
          <w:t>https://doi.org/10.1038/s41586-020-2521-4</w:t>
        </w:r>
      </w:hyperlink>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44"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45" w:history="1">
        <w:r>
          <w:rPr>
            <w:rStyle w:val="Hyperlink"/>
            <w:rFonts w:ascii="Segoe UI" w:hAnsi="Segoe UI" w:cs="Segoe UI"/>
            <w:b/>
            <w:bCs/>
            <w:color w:val="006699"/>
            <w:sz w:val="27"/>
            <w:szCs w:val="27"/>
          </w:rPr>
          <w:t>CAS</w:t>
        </w:r>
      </w:hyperlink>
      <w:r>
        <w:rPr>
          <w:rFonts w:ascii="Segoe UI" w:hAnsi="Segoe UI" w:cs="Segoe UI"/>
          <w:b/>
          <w:bCs/>
          <w:color w:val="222222"/>
          <w:sz w:val="27"/>
          <w:szCs w:val="27"/>
        </w:rPr>
        <w:t> </w:t>
      </w:r>
      <w:hyperlink r:id="rId146" w:history="1">
        <w:r>
          <w:rPr>
            <w:rStyle w:val="Hyperlink"/>
            <w:rFonts w:ascii="Segoe UI" w:hAnsi="Segoe UI" w:cs="Segoe UI"/>
            <w:b/>
            <w:bCs/>
            <w:color w:val="006699"/>
            <w:sz w:val="27"/>
            <w:szCs w:val="27"/>
          </w:rPr>
          <w:t>PubMed</w:t>
        </w:r>
      </w:hyperlink>
      <w:r>
        <w:rPr>
          <w:rFonts w:ascii="Segoe UI" w:hAnsi="Segoe UI" w:cs="Segoe UI"/>
          <w:b/>
          <w:bCs/>
          <w:color w:val="222222"/>
          <w:sz w:val="27"/>
          <w:szCs w:val="27"/>
        </w:rPr>
        <w:t> </w:t>
      </w:r>
      <w:proofErr w:type="spellStart"/>
      <w:r>
        <w:rPr>
          <w:rFonts w:ascii="Segoe UI" w:hAnsi="Segoe UI" w:cs="Segoe UI"/>
          <w:b/>
          <w:bCs/>
          <w:color w:val="222222"/>
          <w:sz w:val="27"/>
          <w:szCs w:val="27"/>
        </w:rPr>
        <w:fldChar w:fldCharType="begin"/>
      </w:r>
      <w:r>
        <w:rPr>
          <w:rFonts w:ascii="Segoe UI" w:hAnsi="Segoe UI" w:cs="Segoe UI"/>
          <w:b/>
          <w:bCs/>
          <w:color w:val="222222"/>
          <w:sz w:val="27"/>
          <w:szCs w:val="27"/>
        </w:rPr>
        <w:instrText xml:space="preserve"> HYPERLINK "http://www.ncbi.nlm.nih.gov/pmc/articles/PMC7611074" </w:instrText>
      </w:r>
      <w:r>
        <w:rPr>
          <w:rFonts w:ascii="Segoe UI" w:hAnsi="Segoe UI" w:cs="Segoe UI"/>
          <w:b/>
          <w:bCs/>
          <w:color w:val="222222"/>
          <w:sz w:val="27"/>
          <w:szCs w:val="27"/>
        </w:rPr>
        <w:fldChar w:fldCharType="separate"/>
      </w:r>
      <w:r>
        <w:rPr>
          <w:rStyle w:val="Hyperlink"/>
          <w:rFonts w:ascii="Segoe UI" w:hAnsi="Segoe UI" w:cs="Segoe UI"/>
          <w:b/>
          <w:bCs/>
          <w:color w:val="006699"/>
          <w:sz w:val="27"/>
          <w:szCs w:val="27"/>
        </w:rPr>
        <w:t>PubMed</w:t>
      </w:r>
      <w:proofErr w:type="spellEnd"/>
      <w:r>
        <w:rPr>
          <w:rStyle w:val="Hyperlink"/>
          <w:rFonts w:ascii="Segoe UI" w:hAnsi="Segoe UI" w:cs="Segoe UI"/>
          <w:b/>
          <w:bCs/>
          <w:color w:val="006699"/>
          <w:sz w:val="27"/>
          <w:szCs w:val="27"/>
        </w:rPr>
        <w:t xml:space="preserve"> Central</w:t>
      </w:r>
      <w:r>
        <w:rPr>
          <w:rFonts w:ascii="Segoe UI" w:hAnsi="Segoe UI" w:cs="Segoe UI"/>
          <w:b/>
          <w:bCs/>
          <w:color w:val="222222"/>
          <w:sz w:val="27"/>
          <w:szCs w:val="27"/>
        </w:rPr>
        <w:fldChar w:fldCharType="end"/>
      </w:r>
      <w:r>
        <w:rPr>
          <w:rFonts w:ascii="Segoe UI" w:hAnsi="Segoe UI" w:cs="Segoe UI"/>
          <w:b/>
          <w:bCs/>
          <w:color w:val="222222"/>
          <w:sz w:val="27"/>
          <w:szCs w:val="27"/>
        </w:rPr>
        <w:t> </w:t>
      </w:r>
      <w:hyperlink r:id="rId147"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text"/>
        <w:numPr>
          <w:ilvl w:val="0"/>
          <w:numId w:val="2"/>
        </w:numPr>
        <w:pBdr>
          <w:bottom w:val="single" w:sz="6" w:space="12" w:color="D5D5D5"/>
        </w:pBdr>
        <w:shd w:val="clear" w:color="auto" w:fill="FFFFFF"/>
        <w:spacing w:before="0" w:beforeAutospacing="0" w:after="120" w:afterAutospacing="0"/>
        <w:rPr>
          <w:rFonts w:ascii="Segoe UI" w:hAnsi="Segoe UI" w:cs="Segoe UI"/>
          <w:color w:val="222222"/>
          <w:sz w:val="27"/>
          <w:szCs w:val="27"/>
        </w:rPr>
      </w:pPr>
      <w:r>
        <w:rPr>
          <w:rFonts w:ascii="Segoe UI" w:hAnsi="Segoe UI" w:cs="Segoe UI"/>
          <w:color w:val="222222"/>
          <w:sz w:val="27"/>
          <w:szCs w:val="27"/>
        </w:rPr>
        <w:t>Zapata-</w:t>
      </w:r>
      <w:proofErr w:type="spellStart"/>
      <w:r>
        <w:rPr>
          <w:rFonts w:ascii="Segoe UI" w:hAnsi="Segoe UI" w:cs="Segoe UI"/>
          <w:color w:val="222222"/>
          <w:sz w:val="27"/>
          <w:szCs w:val="27"/>
        </w:rPr>
        <w:t>Moya</w:t>
      </w:r>
      <w:proofErr w:type="spellEnd"/>
      <w:r>
        <w:rPr>
          <w:rFonts w:ascii="Segoe UI" w:hAnsi="Segoe UI" w:cs="Segoe UI"/>
          <w:color w:val="222222"/>
          <w:sz w:val="27"/>
          <w:szCs w:val="27"/>
        </w:rPr>
        <w:t xml:space="preserve"> ÁR, </w:t>
      </w:r>
      <w:proofErr w:type="spellStart"/>
      <w:r>
        <w:rPr>
          <w:rFonts w:ascii="Segoe UI" w:hAnsi="Segoe UI" w:cs="Segoe UI"/>
          <w:color w:val="222222"/>
          <w:sz w:val="27"/>
          <w:szCs w:val="27"/>
        </w:rPr>
        <w:t>Willems</w:t>
      </w:r>
      <w:proofErr w:type="spellEnd"/>
      <w:r>
        <w:rPr>
          <w:rFonts w:ascii="Segoe UI" w:hAnsi="Segoe UI" w:cs="Segoe UI"/>
          <w:color w:val="222222"/>
          <w:sz w:val="27"/>
          <w:szCs w:val="27"/>
        </w:rPr>
        <w:t xml:space="preserve"> B, </w:t>
      </w:r>
      <w:proofErr w:type="spellStart"/>
      <w:r>
        <w:rPr>
          <w:rFonts w:ascii="Segoe UI" w:hAnsi="Segoe UI" w:cs="Segoe UI"/>
          <w:color w:val="222222"/>
          <w:sz w:val="27"/>
          <w:szCs w:val="27"/>
        </w:rPr>
        <w:t>Bracke</w:t>
      </w:r>
      <w:proofErr w:type="spellEnd"/>
      <w:r>
        <w:rPr>
          <w:rFonts w:ascii="Segoe UI" w:hAnsi="Segoe UI" w:cs="Segoe UI"/>
          <w:color w:val="222222"/>
          <w:sz w:val="27"/>
          <w:szCs w:val="27"/>
        </w:rPr>
        <w:t xml:space="preserve"> P (2019) </w:t>
      </w:r>
      <w:proofErr w:type="gramStart"/>
      <w:r>
        <w:rPr>
          <w:rFonts w:ascii="Segoe UI" w:hAnsi="Segoe UI" w:cs="Segoe UI"/>
          <w:color w:val="222222"/>
          <w:sz w:val="27"/>
          <w:szCs w:val="27"/>
        </w:rPr>
        <w:t>The</w:t>
      </w:r>
      <w:proofErr w:type="gramEnd"/>
      <w:r>
        <w:rPr>
          <w:rFonts w:ascii="Segoe UI" w:hAnsi="Segoe UI" w:cs="Segoe UI"/>
          <w:color w:val="222222"/>
          <w:sz w:val="27"/>
          <w:szCs w:val="27"/>
        </w:rPr>
        <w:t xml:space="preserve"> (re) production of health inequalities through the process of disseminating preventive innovations: the dynamic influence of socioeconomic status. Health </w:t>
      </w:r>
      <w:proofErr w:type="spellStart"/>
      <w:r>
        <w:rPr>
          <w:rFonts w:ascii="Segoe UI" w:hAnsi="Segoe UI" w:cs="Segoe UI"/>
          <w:color w:val="222222"/>
          <w:sz w:val="27"/>
          <w:szCs w:val="27"/>
        </w:rPr>
        <w:t>Sociol</w:t>
      </w:r>
      <w:proofErr w:type="spellEnd"/>
      <w:r>
        <w:rPr>
          <w:rFonts w:ascii="Segoe UI" w:hAnsi="Segoe UI" w:cs="Segoe UI"/>
          <w:color w:val="222222"/>
          <w:sz w:val="27"/>
          <w:szCs w:val="27"/>
        </w:rPr>
        <w:t xml:space="preserve"> Rev 28(2):177–193</w:t>
      </w:r>
    </w:p>
    <w:p w:rsidR="00C22DE9" w:rsidRDefault="00C22DE9" w:rsidP="00C22DE9">
      <w:pPr>
        <w:pStyle w:val="c-article-referenceslinks"/>
        <w:pBdr>
          <w:bottom w:val="single" w:sz="6" w:space="12" w:color="D5D5D5"/>
        </w:pBdr>
        <w:shd w:val="clear" w:color="auto" w:fill="FFFFFF"/>
        <w:spacing w:before="0" w:beforeAutospacing="0" w:after="0" w:afterAutospacing="0"/>
        <w:ind w:left="720"/>
        <w:rPr>
          <w:rFonts w:ascii="Segoe UI" w:hAnsi="Segoe UI" w:cs="Segoe UI"/>
          <w:b/>
          <w:bCs/>
          <w:color w:val="222222"/>
          <w:sz w:val="27"/>
          <w:szCs w:val="27"/>
        </w:rPr>
      </w:pPr>
      <w:hyperlink r:id="rId148" w:history="1">
        <w:r>
          <w:rPr>
            <w:rStyle w:val="Hyperlink"/>
            <w:rFonts w:ascii="Segoe UI" w:hAnsi="Segoe UI" w:cs="Segoe UI"/>
            <w:b/>
            <w:bCs/>
            <w:color w:val="006699"/>
            <w:sz w:val="27"/>
            <w:szCs w:val="27"/>
          </w:rPr>
          <w:t>Article</w:t>
        </w:r>
      </w:hyperlink>
      <w:r>
        <w:rPr>
          <w:rFonts w:ascii="Segoe UI" w:hAnsi="Segoe UI" w:cs="Segoe UI"/>
          <w:b/>
          <w:bCs/>
          <w:color w:val="222222"/>
          <w:sz w:val="27"/>
          <w:szCs w:val="27"/>
        </w:rPr>
        <w:t> </w:t>
      </w:r>
      <w:hyperlink r:id="rId149" w:history="1">
        <w:r>
          <w:rPr>
            <w:rStyle w:val="Hyperlink"/>
            <w:rFonts w:ascii="Segoe UI" w:hAnsi="Segoe UI" w:cs="Segoe UI"/>
            <w:b/>
            <w:bCs/>
            <w:color w:val="006699"/>
            <w:sz w:val="27"/>
            <w:szCs w:val="27"/>
          </w:rPr>
          <w:t>Google Scholar</w:t>
        </w:r>
      </w:hyperlink>
      <w:r>
        <w:rPr>
          <w:rFonts w:ascii="Segoe UI" w:hAnsi="Segoe UI" w:cs="Segoe UI"/>
          <w:b/>
          <w:bCs/>
          <w:color w:val="222222"/>
          <w:sz w:val="27"/>
          <w:szCs w:val="27"/>
        </w:rPr>
        <w:t> </w:t>
      </w:r>
    </w:p>
    <w:p w:rsidR="00C22DE9" w:rsidRDefault="00C22DE9" w:rsidP="00C22DE9">
      <w:pPr>
        <w:pStyle w:val="c-article-referencesdownload"/>
        <w:shd w:val="clear" w:color="auto" w:fill="FFFFFF"/>
        <w:spacing w:before="0" w:beforeAutospacing="0" w:after="420" w:afterAutospacing="0"/>
        <w:jc w:val="right"/>
        <w:rPr>
          <w:rFonts w:ascii="Segoe UI" w:hAnsi="Segoe UI" w:cs="Segoe UI"/>
          <w:color w:val="222222"/>
          <w:sz w:val="27"/>
          <w:szCs w:val="27"/>
        </w:rPr>
      </w:pPr>
      <w:hyperlink r:id="rId150" w:history="1">
        <w:r>
          <w:rPr>
            <w:rStyle w:val="Hyperlink"/>
            <w:rFonts w:ascii="Segoe UI" w:hAnsi="Segoe UI" w:cs="Segoe UI"/>
            <w:b/>
            <w:bCs/>
            <w:color w:val="006699"/>
            <w:sz w:val="27"/>
            <w:szCs w:val="27"/>
          </w:rPr>
          <w:t>Download references</w:t>
        </w:r>
      </w:hyperlink>
    </w:p>
    <w:p w:rsidR="00C22DE9" w:rsidRDefault="00C22DE9" w:rsidP="00C22DE9">
      <w:pPr>
        <w:pStyle w:val="Heading2"/>
        <w:pBdr>
          <w:bottom w:val="single" w:sz="12" w:space="6" w:color="D5D5D5"/>
        </w:pBdr>
        <w:shd w:val="clear" w:color="auto" w:fill="FFFFFF"/>
        <w:spacing w:before="0"/>
        <w:rPr>
          <w:rFonts w:ascii="Segoe UI" w:hAnsi="Segoe UI" w:cs="Segoe UI"/>
          <w:color w:val="222222"/>
          <w:sz w:val="36"/>
          <w:szCs w:val="36"/>
        </w:rPr>
      </w:pPr>
      <w:r>
        <w:rPr>
          <w:rFonts w:ascii="Segoe UI" w:hAnsi="Segoe UI" w:cs="Segoe UI"/>
          <w:color w:val="222222"/>
        </w:rPr>
        <w:t>Acknowledgements</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r>
        <w:rPr>
          <w:rFonts w:ascii="Segoe UI" w:hAnsi="Segoe UI" w:cs="Segoe UI"/>
          <w:color w:val="222222"/>
          <w:sz w:val="27"/>
          <w:szCs w:val="27"/>
        </w:rPr>
        <w:t>This study was supported by a grant awarded by the Research Council of Norway (project number 288638) to the Centre for Global Health Inequalities Research (CHAIN) at the Norwegian University for Science and Technology (NTNU).</w:t>
      </w:r>
    </w:p>
    <w:p w:rsidR="00C22DE9" w:rsidRDefault="00C22DE9" w:rsidP="00C22DE9">
      <w:pPr>
        <w:pStyle w:val="Heading2"/>
        <w:pBdr>
          <w:bottom w:val="single" w:sz="12" w:space="6" w:color="D5D5D5"/>
        </w:pBdr>
        <w:shd w:val="clear" w:color="auto" w:fill="FFFFFF"/>
        <w:spacing w:before="0"/>
        <w:rPr>
          <w:rFonts w:ascii="Segoe UI" w:hAnsi="Segoe UI" w:cs="Segoe UI"/>
          <w:color w:val="222222"/>
          <w:sz w:val="36"/>
          <w:szCs w:val="36"/>
        </w:rPr>
      </w:pPr>
      <w:r>
        <w:rPr>
          <w:rFonts w:ascii="Segoe UI" w:hAnsi="Segoe UI" w:cs="Segoe UI"/>
          <w:color w:val="222222"/>
        </w:rPr>
        <w:t>Author information</w:t>
      </w:r>
    </w:p>
    <w:p w:rsidR="00C22DE9" w:rsidRDefault="00C22DE9" w:rsidP="00C22DE9">
      <w:pPr>
        <w:pStyle w:val="Heading3"/>
        <w:shd w:val="clear" w:color="auto" w:fill="FFFFFF"/>
        <w:spacing w:before="0" w:after="120"/>
        <w:rPr>
          <w:rFonts w:ascii="Segoe UI" w:hAnsi="Segoe UI" w:cs="Segoe UI"/>
          <w:b w:val="0"/>
          <w:bCs w:val="0"/>
          <w:color w:val="222222"/>
        </w:rPr>
      </w:pPr>
      <w:r>
        <w:rPr>
          <w:rFonts w:ascii="Segoe UI" w:hAnsi="Segoe UI" w:cs="Segoe UI"/>
          <w:b w:val="0"/>
          <w:bCs w:val="0"/>
          <w:color w:val="222222"/>
        </w:rPr>
        <w:t>Authors and Affiliations</w:t>
      </w:r>
    </w:p>
    <w:p w:rsidR="00C22DE9" w:rsidRDefault="00C22DE9" w:rsidP="00C22DE9">
      <w:pPr>
        <w:pStyle w:val="c-article-author-affiliationaddress"/>
        <w:numPr>
          <w:ilvl w:val="0"/>
          <w:numId w:val="3"/>
        </w:numPr>
        <w:shd w:val="clear" w:color="auto" w:fill="FFFFFF"/>
        <w:spacing w:before="0" w:beforeAutospacing="0" w:after="0" w:afterAutospacing="0"/>
        <w:rPr>
          <w:rFonts w:ascii="Segoe UI" w:hAnsi="Segoe UI" w:cs="Segoe UI"/>
          <w:b/>
          <w:bCs/>
          <w:color w:val="222222"/>
          <w:sz w:val="27"/>
          <w:szCs w:val="27"/>
        </w:rPr>
      </w:pPr>
      <w:r>
        <w:rPr>
          <w:rFonts w:ascii="Segoe UI" w:hAnsi="Segoe UI" w:cs="Segoe UI"/>
          <w:b/>
          <w:bCs/>
          <w:color w:val="222222"/>
          <w:sz w:val="27"/>
          <w:szCs w:val="27"/>
        </w:rPr>
        <w:t>NORCE Norwegian Research Centre, Bergen, Norway</w:t>
      </w:r>
    </w:p>
    <w:p w:rsidR="00C22DE9" w:rsidRDefault="00C22DE9" w:rsidP="00C22DE9">
      <w:pPr>
        <w:pStyle w:val="c-article-author-affiliationauthors-list"/>
        <w:shd w:val="clear" w:color="auto" w:fill="FFFFFF"/>
        <w:spacing w:before="0" w:beforeAutospacing="0" w:after="0" w:afterAutospacing="0"/>
        <w:ind w:left="720"/>
        <w:rPr>
          <w:rFonts w:ascii="Segoe UI" w:hAnsi="Segoe UI" w:cs="Segoe UI"/>
          <w:color w:val="222222"/>
          <w:sz w:val="27"/>
          <w:szCs w:val="27"/>
        </w:rPr>
      </w:pPr>
      <w:proofErr w:type="spellStart"/>
      <w:r>
        <w:rPr>
          <w:rFonts w:ascii="Segoe UI" w:hAnsi="Segoe UI" w:cs="Segoe UI"/>
          <w:color w:val="222222"/>
          <w:sz w:val="27"/>
          <w:szCs w:val="27"/>
        </w:rPr>
        <w:t>Håvard</w:t>
      </w:r>
      <w:proofErr w:type="spellEnd"/>
      <w:r>
        <w:rPr>
          <w:rFonts w:ascii="Segoe UI" w:hAnsi="Segoe UI" w:cs="Segoe UI"/>
          <w:color w:val="222222"/>
          <w:sz w:val="27"/>
          <w:szCs w:val="27"/>
        </w:rPr>
        <w:t xml:space="preserve"> </w:t>
      </w:r>
      <w:proofErr w:type="spellStart"/>
      <w:r>
        <w:rPr>
          <w:rFonts w:ascii="Segoe UI" w:hAnsi="Segoe UI" w:cs="Segoe UI"/>
          <w:color w:val="222222"/>
          <w:sz w:val="27"/>
          <w:szCs w:val="27"/>
        </w:rPr>
        <w:t>Thorsen</w:t>
      </w:r>
      <w:proofErr w:type="spellEnd"/>
      <w:r>
        <w:rPr>
          <w:rFonts w:ascii="Segoe UI" w:hAnsi="Segoe UI" w:cs="Segoe UI"/>
          <w:color w:val="222222"/>
          <w:sz w:val="27"/>
          <w:szCs w:val="27"/>
        </w:rPr>
        <w:t xml:space="preserve"> </w:t>
      </w:r>
      <w:proofErr w:type="spellStart"/>
      <w:r>
        <w:rPr>
          <w:rFonts w:ascii="Segoe UI" w:hAnsi="Segoe UI" w:cs="Segoe UI"/>
          <w:color w:val="222222"/>
          <w:sz w:val="27"/>
          <w:szCs w:val="27"/>
        </w:rPr>
        <w:t>Rydland</w:t>
      </w:r>
      <w:proofErr w:type="spellEnd"/>
    </w:p>
    <w:p w:rsidR="00C22DE9" w:rsidRDefault="00C22DE9" w:rsidP="00C22DE9">
      <w:pPr>
        <w:pStyle w:val="c-article-author-affiliationaddress"/>
        <w:numPr>
          <w:ilvl w:val="0"/>
          <w:numId w:val="3"/>
        </w:numPr>
        <w:shd w:val="clear" w:color="auto" w:fill="FFFFFF"/>
        <w:spacing w:before="0" w:beforeAutospacing="0" w:after="0" w:afterAutospacing="0"/>
        <w:rPr>
          <w:rFonts w:ascii="Segoe UI" w:hAnsi="Segoe UI" w:cs="Segoe UI"/>
          <w:b/>
          <w:bCs/>
          <w:color w:val="222222"/>
          <w:sz w:val="27"/>
          <w:szCs w:val="27"/>
        </w:rPr>
      </w:pPr>
      <w:r>
        <w:rPr>
          <w:rFonts w:ascii="Segoe UI" w:hAnsi="Segoe UI" w:cs="Segoe UI"/>
          <w:b/>
          <w:bCs/>
          <w:color w:val="222222"/>
          <w:sz w:val="27"/>
          <w:szCs w:val="27"/>
        </w:rPr>
        <w:t>Center for Social Medicine and Humanities, University of California, Los Angeles, CA, USA</w:t>
      </w:r>
    </w:p>
    <w:p w:rsidR="00C22DE9" w:rsidRDefault="00C22DE9" w:rsidP="00C22DE9">
      <w:pPr>
        <w:pStyle w:val="c-article-author-affiliationauthors-list"/>
        <w:shd w:val="clear" w:color="auto" w:fill="FFFFFF"/>
        <w:spacing w:before="0" w:beforeAutospacing="0" w:after="0" w:afterAutospacing="0"/>
        <w:ind w:left="720"/>
        <w:rPr>
          <w:rFonts w:ascii="Segoe UI" w:hAnsi="Segoe UI" w:cs="Segoe UI"/>
          <w:color w:val="222222"/>
          <w:sz w:val="27"/>
          <w:szCs w:val="27"/>
        </w:rPr>
      </w:pPr>
      <w:r>
        <w:rPr>
          <w:rFonts w:ascii="Segoe UI" w:hAnsi="Segoe UI" w:cs="Segoe UI"/>
          <w:color w:val="222222"/>
          <w:sz w:val="27"/>
          <w:szCs w:val="27"/>
        </w:rPr>
        <w:lastRenderedPageBreak/>
        <w:t>Joseph Friedman</w:t>
      </w:r>
    </w:p>
    <w:p w:rsidR="00C22DE9" w:rsidRDefault="00C22DE9" w:rsidP="00C22DE9">
      <w:pPr>
        <w:pStyle w:val="c-article-author-affiliationaddress"/>
        <w:numPr>
          <w:ilvl w:val="0"/>
          <w:numId w:val="3"/>
        </w:numPr>
        <w:shd w:val="clear" w:color="auto" w:fill="FFFFFF"/>
        <w:spacing w:before="0" w:beforeAutospacing="0" w:after="0" w:afterAutospacing="0"/>
        <w:rPr>
          <w:rFonts w:ascii="Segoe UI" w:hAnsi="Segoe UI" w:cs="Segoe UI"/>
          <w:b/>
          <w:bCs/>
          <w:color w:val="222222"/>
          <w:sz w:val="27"/>
          <w:szCs w:val="27"/>
        </w:rPr>
      </w:pPr>
      <w:r>
        <w:rPr>
          <w:rFonts w:ascii="Segoe UI" w:hAnsi="Segoe UI" w:cs="Segoe UI"/>
          <w:b/>
          <w:bCs/>
          <w:color w:val="222222"/>
          <w:sz w:val="27"/>
          <w:szCs w:val="27"/>
        </w:rPr>
        <w:t>Unit of Population Epidemiology, Division of Primary Care Medicine, Geneva University Hospitals, Geneva, Switzerland</w:t>
      </w:r>
    </w:p>
    <w:p w:rsidR="00C22DE9" w:rsidRDefault="00C22DE9" w:rsidP="00C22DE9">
      <w:pPr>
        <w:pStyle w:val="c-article-author-affiliationauthors-list"/>
        <w:shd w:val="clear" w:color="auto" w:fill="FFFFFF"/>
        <w:spacing w:before="0" w:beforeAutospacing="0" w:after="0" w:afterAutospacing="0"/>
        <w:ind w:left="720"/>
        <w:rPr>
          <w:rFonts w:ascii="Segoe UI" w:hAnsi="Segoe UI" w:cs="Segoe UI"/>
          <w:color w:val="222222"/>
          <w:sz w:val="27"/>
          <w:szCs w:val="27"/>
        </w:rPr>
      </w:pPr>
      <w:r>
        <w:rPr>
          <w:rFonts w:ascii="Segoe UI" w:hAnsi="Segoe UI" w:cs="Segoe UI"/>
          <w:color w:val="222222"/>
          <w:sz w:val="27"/>
          <w:szCs w:val="27"/>
        </w:rPr>
        <w:t xml:space="preserve">Silvia </w:t>
      </w:r>
      <w:proofErr w:type="spellStart"/>
      <w:r>
        <w:rPr>
          <w:rFonts w:ascii="Segoe UI" w:hAnsi="Segoe UI" w:cs="Segoe UI"/>
          <w:color w:val="222222"/>
          <w:sz w:val="27"/>
          <w:szCs w:val="27"/>
        </w:rPr>
        <w:t>Stringhini</w:t>
      </w:r>
      <w:proofErr w:type="spellEnd"/>
    </w:p>
    <w:p w:rsidR="00C22DE9" w:rsidRDefault="00C22DE9" w:rsidP="00C22DE9">
      <w:pPr>
        <w:pStyle w:val="c-article-author-affiliationaddress"/>
        <w:numPr>
          <w:ilvl w:val="0"/>
          <w:numId w:val="3"/>
        </w:numPr>
        <w:shd w:val="clear" w:color="auto" w:fill="FFFFFF"/>
        <w:spacing w:before="0" w:beforeAutospacing="0" w:after="0" w:afterAutospacing="0"/>
        <w:rPr>
          <w:rFonts w:ascii="Segoe UI" w:hAnsi="Segoe UI" w:cs="Segoe UI"/>
          <w:b/>
          <w:bCs/>
          <w:color w:val="222222"/>
          <w:sz w:val="27"/>
          <w:szCs w:val="27"/>
        </w:rPr>
      </w:pPr>
      <w:r>
        <w:rPr>
          <w:rFonts w:ascii="Segoe UI" w:hAnsi="Segoe UI" w:cs="Segoe UI"/>
          <w:b/>
          <w:bCs/>
          <w:color w:val="222222"/>
          <w:sz w:val="27"/>
          <w:szCs w:val="27"/>
        </w:rPr>
        <w:t>Department of Health and Community Medicine, Faculty of Medicine, University of Geneva, Geneva, Switzerland</w:t>
      </w:r>
    </w:p>
    <w:p w:rsidR="00C22DE9" w:rsidRDefault="00C22DE9" w:rsidP="00C22DE9">
      <w:pPr>
        <w:pStyle w:val="c-article-author-affiliationauthors-list"/>
        <w:shd w:val="clear" w:color="auto" w:fill="FFFFFF"/>
        <w:spacing w:before="0" w:beforeAutospacing="0" w:after="0" w:afterAutospacing="0"/>
        <w:ind w:left="720"/>
        <w:rPr>
          <w:rFonts w:ascii="Segoe UI" w:hAnsi="Segoe UI" w:cs="Segoe UI"/>
          <w:color w:val="222222"/>
          <w:sz w:val="27"/>
          <w:szCs w:val="27"/>
        </w:rPr>
      </w:pPr>
      <w:r>
        <w:rPr>
          <w:rFonts w:ascii="Segoe UI" w:hAnsi="Segoe UI" w:cs="Segoe UI"/>
          <w:color w:val="222222"/>
          <w:sz w:val="27"/>
          <w:szCs w:val="27"/>
        </w:rPr>
        <w:t xml:space="preserve">Silvia </w:t>
      </w:r>
      <w:proofErr w:type="spellStart"/>
      <w:r>
        <w:rPr>
          <w:rFonts w:ascii="Segoe UI" w:hAnsi="Segoe UI" w:cs="Segoe UI"/>
          <w:color w:val="222222"/>
          <w:sz w:val="27"/>
          <w:szCs w:val="27"/>
        </w:rPr>
        <w:t>Stringhini</w:t>
      </w:r>
      <w:proofErr w:type="spellEnd"/>
    </w:p>
    <w:p w:rsidR="00C22DE9" w:rsidRDefault="00C22DE9" w:rsidP="00C22DE9">
      <w:pPr>
        <w:pStyle w:val="c-article-author-affiliationaddress"/>
        <w:numPr>
          <w:ilvl w:val="0"/>
          <w:numId w:val="3"/>
        </w:numPr>
        <w:shd w:val="clear" w:color="auto" w:fill="FFFFFF"/>
        <w:spacing w:before="0" w:beforeAutospacing="0" w:after="0" w:afterAutospacing="0"/>
        <w:rPr>
          <w:rFonts w:ascii="Segoe UI" w:hAnsi="Segoe UI" w:cs="Segoe UI"/>
          <w:b/>
          <w:bCs/>
          <w:color w:val="222222"/>
          <w:sz w:val="27"/>
          <w:szCs w:val="27"/>
        </w:rPr>
      </w:pPr>
      <w:r>
        <w:rPr>
          <w:rFonts w:ascii="Segoe UI" w:hAnsi="Segoe UI" w:cs="Segoe UI"/>
          <w:b/>
          <w:bCs/>
          <w:color w:val="222222"/>
          <w:sz w:val="27"/>
          <w:szCs w:val="27"/>
        </w:rPr>
        <w:t>University Center for General Medicine and Public Health, University of Lausanne, Lausanne, Switzerland</w:t>
      </w:r>
    </w:p>
    <w:p w:rsidR="00C22DE9" w:rsidRDefault="00C22DE9" w:rsidP="00C22DE9">
      <w:pPr>
        <w:pStyle w:val="c-article-author-affiliationauthors-list"/>
        <w:shd w:val="clear" w:color="auto" w:fill="FFFFFF"/>
        <w:spacing w:before="0" w:beforeAutospacing="0" w:after="0" w:afterAutospacing="0"/>
        <w:ind w:left="720"/>
        <w:rPr>
          <w:rFonts w:ascii="Segoe UI" w:hAnsi="Segoe UI" w:cs="Segoe UI"/>
          <w:color w:val="222222"/>
          <w:sz w:val="27"/>
          <w:szCs w:val="27"/>
        </w:rPr>
      </w:pPr>
      <w:r>
        <w:rPr>
          <w:rFonts w:ascii="Segoe UI" w:hAnsi="Segoe UI" w:cs="Segoe UI"/>
          <w:color w:val="222222"/>
          <w:sz w:val="27"/>
          <w:szCs w:val="27"/>
        </w:rPr>
        <w:t xml:space="preserve">Silvia </w:t>
      </w:r>
      <w:proofErr w:type="spellStart"/>
      <w:r>
        <w:rPr>
          <w:rFonts w:ascii="Segoe UI" w:hAnsi="Segoe UI" w:cs="Segoe UI"/>
          <w:color w:val="222222"/>
          <w:sz w:val="27"/>
          <w:szCs w:val="27"/>
        </w:rPr>
        <w:t>Stringhini</w:t>
      </w:r>
      <w:proofErr w:type="spellEnd"/>
    </w:p>
    <w:p w:rsidR="00C22DE9" w:rsidRDefault="00C22DE9" w:rsidP="00C22DE9">
      <w:pPr>
        <w:pStyle w:val="c-article-author-affiliationaddress"/>
        <w:numPr>
          <w:ilvl w:val="0"/>
          <w:numId w:val="3"/>
        </w:numPr>
        <w:shd w:val="clear" w:color="auto" w:fill="FFFFFF"/>
        <w:spacing w:before="0" w:beforeAutospacing="0" w:after="0" w:afterAutospacing="0"/>
        <w:rPr>
          <w:rFonts w:ascii="Segoe UI" w:hAnsi="Segoe UI" w:cs="Segoe UI"/>
          <w:b/>
          <w:bCs/>
          <w:color w:val="222222"/>
          <w:sz w:val="27"/>
          <w:szCs w:val="27"/>
        </w:rPr>
      </w:pPr>
      <w:r>
        <w:rPr>
          <w:rFonts w:ascii="Segoe UI" w:hAnsi="Segoe UI" w:cs="Segoe UI"/>
          <w:b/>
          <w:bCs/>
          <w:color w:val="222222"/>
          <w:sz w:val="27"/>
          <w:szCs w:val="27"/>
        </w:rPr>
        <w:t>University of California Riverside, Riverside, CA, USA</w:t>
      </w:r>
    </w:p>
    <w:p w:rsidR="00C22DE9" w:rsidRDefault="00C22DE9" w:rsidP="00C22DE9">
      <w:pPr>
        <w:pStyle w:val="c-article-author-affiliationauthors-list"/>
        <w:shd w:val="clear" w:color="auto" w:fill="FFFFFF"/>
        <w:spacing w:before="0" w:beforeAutospacing="0" w:after="0" w:afterAutospacing="0"/>
        <w:ind w:left="720"/>
        <w:rPr>
          <w:rFonts w:ascii="Segoe UI" w:hAnsi="Segoe UI" w:cs="Segoe UI"/>
          <w:color w:val="222222"/>
          <w:sz w:val="27"/>
          <w:szCs w:val="27"/>
        </w:rPr>
      </w:pPr>
      <w:r>
        <w:rPr>
          <w:rFonts w:ascii="Segoe UI" w:hAnsi="Segoe UI" w:cs="Segoe UI"/>
          <w:color w:val="222222"/>
          <w:sz w:val="27"/>
          <w:szCs w:val="27"/>
        </w:rPr>
        <w:t>Bruce G. Link</w:t>
      </w:r>
    </w:p>
    <w:p w:rsidR="00C22DE9" w:rsidRDefault="00C22DE9" w:rsidP="00C22DE9">
      <w:pPr>
        <w:pStyle w:val="c-article-author-affiliationaddress"/>
        <w:numPr>
          <w:ilvl w:val="0"/>
          <w:numId w:val="3"/>
        </w:numPr>
        <w:shd w:val="clear" w:color="auto" w:fill="FFFFFF"/>
        <w:spacing w:before="0" w:beforeAutospacing="0" w:after="0" w:afterAutospacing="0"/>
        <w:rPr>
          <w:rFonts w:ascii="Segoe UI" w:hAnsi="Segoe UI" w:cs="Segoe UI"/>
          <w:b/>
          <w:bCs/>
          <w:color w:val="222222"/>
          <w:sz w:val="27"/>
          <w:szCs w:val="27"/>
        </w:rPr>
      </w:pPr>
      <w:r>
        <w:rPr>
          <w:rFonts w:ascii="Segoe UI" w:hAnsi="Segoe UI" w:cs="Segoe UI"/>
          <w:b/>
          <w:bCs/>
          <w:color w:val="222222"/>
          <w:sz w:val="27"/>
          <w:szCs w:val="27"/>
        </w:rPr>
        <w:t>Centre for Global Health Inequalities Research (CHAIN), Department of Sociology and Political Science, University of Science and Technology (NTNU), Trondheim, Norway</w:t>
      </w:r>
    </w:p>
    <w:p w:rsidR="00C22DE9" w:rsidRDefault="00C22DE9" w:rsidP="00C22DE9">
      <w:pPr>
        <w:pStyle w:val="c-article-author-affiliationauthors-list"/>
        <w:shd w:val="clear" w:color="auto" w:fill="FFFFFF"/>
        <w:spacing w:before="0" w:beforeAutospacing="0" w:after="0" w:afterAutospacing="0"/>
        <w:ind w:left="720"/>
        <w:rPr>
          <w:rFonts w:ascii="Segoe UI" w:hAnsi="Segoe UI" w:cs="Segoe UI"/>
          <w:color w:val="222222"/>
          <w:sz w:val="27"/>
          <w:szCs w:val="27"/>
        </w:rPr>
      </w:pPr>
      <w:proofErr w:type="spellStart"/>
      <w:r>
        <w:rPr>
          <w:rFonts w:ascii="Segoe UI" w:hAnsi="Segoe UI" w:cs="Segoe UI"/>
          <w:color w:val="222222"/>
          <w:sz w:val="27"/>
          <w:szCs w:val="27"/>
        </w:rPr>
        <w:t>Terje</w:t>
      </w:r>
      <w:proofErr w:type="spellEnd"/>
      <w:r>
        <w:rPr>
          <w:rFonts w:ascii="Segoe UI" w:hAnsi="Segoe UI" w:cs="Segoe UI"/>
          <w:color w:val="222222"/>
          <w:sz w:val="27"/>
          <w:szCs w:val="27"/>
        </w:rPr>
        <w:t xml:space="preserve"> Andreas </w:t>
      </w:r>
      <w:proofErr w:type="spellStart"/>
      <w:r>
        <w:rPr>
          <w:rFonts w:ascii="Segoe UI" w:hAnsi="Segoe UI" w:cs="Segoe UI"/>
          <w:color w:val="222222"/>
          <w:sz w:val="27"/>
          <w:szCs w:val="27"/>
        </w:rPr>
        <w:t>Eikemo</w:t>
      </w:r>
      <w:proofErr w:type="spellEnd"/>
    </w:p>
    <w:p w:rsidR="00C22DE9" w:rsidRDefault="00C22DE9" w:rsidP="00C22DE9">
      <w:pPr>
        <w:pStyle w:val="Heading3"/>
        <w:shd w:val="clear" w:color="auto" w:fill="FFFFFF"/>
        <w:spacing w:before="0" w:after="120"/>
        <w:rPr>
          <w:rFonts w:ascii="Segoe UI" w:hAnsi="Segoe UI" w:cs="Segoe UI"/>
          <w:b w:val="0"/>
          <w:bCs w:val="0"/>
          <w:color w:val="222222"/>
          <w:sz w:val="27"/>
          <w:szCs w:val="27"/>
        </w:rPr>
      </w:pPr>
      <w:r>
        <w:rPr>
          <w:rFonts w:ascii="Segoe UI" w:hAnsi="Segoe UI" w:cs="Segoe UI"/>
          <w:b w:val="0"/>
          <w:bCs w:val="0"/>
          <w:color w:val="222222"/>
        </w:rPr>
        <w:t>Corresponding author</w:t>
      </w:r>
    </w:p>
    <w:p w:rsidR="00C22DE9" w:rsidRDefault="00C22DE9" w:rsidP="00C22DE9">
      <w:pPr>
        <w:pStyle w:val="NormalWeb"/>
        <w:shd w:val="clear" w:color="auto" w:fill="FFFFFF"/>
        <w:spacing w:before="0" w:beforeAutospacing="0" w:after="420" w:afterAutospacing="0"/>
        <w:rPr>
          <w:rFonts w:ascii="Segoe UI" w:hAnsi="Segoe UI" w:cs="Segoe UI"/>
          <w:color w:val="222222"/>
          <w:sz w:val="27"/>
          <w:szCs w:val="27"/>
        </w:rPr>
      </w:pPr>
      <w:proofErr w:type="gramStart"/>
      <w:r>
        <w:rPr>
          <w:rFonts w:ascii="Segoe UI" w:hAnsi="Segoe UI" w:cs="Segoe UI"/>
          <w:color w:val="222222"/>
          <w:sz w:val="27"/>
          <w:szCs w:val="27"/>
        </w:rPr>
        <w:t>Correspondence to </w:t>
      </w:r>
      <w:proofErr w:type="spellStart"/>
      <w:r>
        <w:rPr>
          <w:rFonts w:ascii="Segoe UI" w:hAnsi="Segoe UI" w:cs="Segoe UI"/>
          <w:color w:val="222222"/>
          <w:sz w:val="27"/>
          <w:szCs w:val="27"/>
        </w:rPr>
        <w:fldChar w:fldCharType="begin"/>
      </w:r>
      <w:r>
        <w:rPr>
          <w:rFonts w:ascii="Segoe UI" w:hAnsi="Segoe UI" w:cs="Segoe UI"/>
          <w:color w:val="222222"/>
          <w:sz w:val="27"/>
          <w:szCs w:val="27"/>
        </w:rPr>
        <w:instrText xml:space="preserve"> HYPERLINK "mailto:Terje.Eikemo@ntnu.no" </w:instrText>
      </w:r>
      <w:r>
        <w:rPr>
          <w:rFonts w:ascii="Segoe UI" w:hAnsi="Segoe UI" w:cs="Segoe UI"/>
          <w:color w:val="222222"/>
          <w:sz w:val="27"/>
          <w:szCs w:val="27"/>
        </w:rPr>
        <w:fldChar w:fldCharType="separate"/>
      </w:r>
      <w:r>
        <w:rPr>
          <w:rStyle w:val="Hyperlink"/>
          <w:rFonts w:ascii="Segoe UI" w:hAnsi="Segoe UI" w:cs="Segoe UI"/>
          <w:color w:val="006699"/>
          <w:sz w:val="27"/>
          <w:szCs w:val="27"/>
        </w:rPr>
        <w:t>Terje</w:t>
      </w:r>
      <w:proofErr w:type="spellEnd"/>
      <w:r>
        <w:rPr>
          <w:rStyle w:val="Hyperlink"/>
          <w:rFonts w:ascii="Segoe UI" w:hAnsi="Segoe UI" w:cs="Segoe UI"/>
          <w:color w:val="006699"/>
          <w:sz w:val="27"/>
          <w:szCs w:val="27"/>
        </w:rPr>
        <w:t xml:space="preserve"> Andreas </w:t>
      </w:r>
      <w:proofErr w:type="spellStart"/>
      <w:r>
        <w:rPr>
          <w:rStyle w:val="Hyperlink"/>
          <w:rFonts w:ascii="Segoe UI" w:hAnsi="Segoe UI" w:cs="Segoe UI"/>
          <w:color w:val="006699"/>
          <w:sz w:val="27"/>
          <w:szCs w:val="27"/>
        </w:rPr>
        <w:t>Eikemo</w:t>
      </w:r>
      <w:proofErr w:type="spellEnd"/>
      <w:r>
        <w:rPr>
          <w:rFonts w:ascii="Segoe UI" w:hAnsi="Segoe UI" w:cs="Segoe UI"/>
          <w:color w:val="222222"/>
          <w:sz w:val="27"/>
          <w:szCs w:val="27"/>
        </w:rPr>
        <w:fldChar w:fldCharType="end"/>
      </w:r>
      <w:r>
        <w:rPr>
          <w:rFonts w:ascii="Segoe UI" w:hAnsi="Segoe UI" w:cs="Segoe UI"/>
          <w:color w:val="222222"/>
          <w:sz w:val="27"/>
          <w:szCs w:val="27"/>
        </w:rPr>
        <w:t>.</w:t>
      </w:r>
      <w:proofErr w:type="gramEnd"/>
    </w:p>
    <w:p w:rsidR="00C22DE9" w:rsidRDefault="00C22DE9"/>
    <w:sectPr w:rsidR="00C22D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22DFD"/>
    <w:multiLevelType w:val="multilevel"/>
    <w:tmpl w:val="E92C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6C77DB2"/>
    <w:multiLevelType w:val="multilevel"/>
    <w:tmpl w:val="CC2AE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9A62947"/>
    <w:multiLevelType w:val="multilevel"/>
    <w:tmpl w:val="9EE4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DE9"/>
    <w:rsid w:val="00C22DE9"/>
    <w:rsid w:val="00D31AA7"/>
    <w:rsid w:val="00D35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22D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22D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22DE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2DE9"/>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C22DE9"/>
    <w:rPr>
      <w:color w:val="0000FF"/>
      <w:u w:val="single"/>
    </w:rPr>
  </w:style>
  <w:style w:type="paragraph" w:customStyle="1" w:styleId="c-article-info-details">
    <w:name w:val="c-article-info-details"/>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visually-hidden">
    <w:name w:val="u-visually-hidden"/>
    <w:basedOn w:val="DefaultParagraphFont"/>
    <w:rsid w:val="00C22DE9"/>
  </w:style>
  <w:style w:type="character" w:customStyle="1" w:styleId="Heading2Char">
    <w:name w:val="Heading 2 Char"/>
    <w:basedOn w:val="DefaultParagraphFont"/>
    <w:link w:val="Heading2"/>
    <w:uiPriority w:val="9"/>
    <w:semiHidden/>
    <w:rsid w:val="00C22DE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22DE9"/>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referencestext">
    <w:name w:val="c-article-references__text"/>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referenceslinks">
    <w:name w:val="c-article-references__links"/>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referencesdownload">
    <w:name w:val="c-article-references__download"/>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author-affiliationaddress">
    <w:name w:val="c-article-author-affiliation__address"/>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author-affiliationauthors-list">
    <w:name w:val="c-article-author-affiliation__authors-list"/>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22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D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22D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22D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22DE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2DE9"/>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C22DE9"/>
    <w:rPr>
      <w:color w:val="0000FF"/>
      <w:u w:val="single"/>
    </w:rPr>
  </w:style>
  <w:style w:type="paragraph" w:customStyle="1" w:styleId="c-article-info-details">
    <w:name w:val="c-article-info-details"/>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visually-hidden">
    <w:name w:val="u-visually-hidden"/>
    <w:basedOn w:val="DefaultParagraphFont"/>
    <w:rsid w:val="00C22DE9"/>
  </w:style>
  <w:style w:type="character" w:customStyle="1" w:styleId="Heading2Char">
    <w:name w:val="Heading 2 Char"/>
    <w:basedOn w:val="DefaultParagraphFont"/>
    <w:link w:val="Heading2"/>
    <w:uiPriority w:val="9"/>
    <w:semiHidden/>
    <w:rsid w:val="00C22DE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22DE9"/>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referencestext">
    <w:name w:val="c-article-references__text"/>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referenceslinks">
    <w:name w:val="c-article-references__links"/>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referencesdownload">
    <w:name w:val="c-article-references__download"/>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author-affiliationaddress">
    <w:name w:val="c-article-author-affiliation__address"/>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ticle-author-affiliationauthors-list">
    <w:name w:val="c-article-author-affiliation__authors-list"/>
    <w:basedOn w:val="Normal"/>
    <w:rsid w:val="00C22DE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22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D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45561">
      <w:bodyDiv w:val="1"/>
      <w:marLeft w:val="0"/>
      <w:marRight w:val="0"/>
      <w:marTop w:val="0"/>
      <w:marBottom w:val="0"/>
      <w:divBdr>
        <w:top w:val="none" w:sz="0" w:space="0" w:color="auto"/>
        <w:left w:val="none" w:sz="0" w:space="0" w:color="auto"/>
        <w:bottom w:val="none" w:sz="0" w:space="0" w:color="auto"/>
        <w:right w:val="none" w:sz="0" w:space="0" w:color="auto"/>
      </w:divBdr>
      <w:divsChild>
        <w:div w:id="2109307736">
          <w:marLeft w:val="0"/>
          <w:marRight w:val="0"/>
          <w:marTop w:val="0"/>
          <w:marBottom w:val="600"/>
          <w:divBdr>
            <w:top w:val="none" w:sz="0" w:space="0" w:color="auto"/>
            <w:left w:val="none" w:sz="0" w:space="0" w:color="auto"/>
            <w:bottom w:val="none" w:sz="0" w:space="0" w:color="auto"/>
            <w:right w:val="none" w:sz="0" w:space="0" w:color="auto"/>
          </w:divBdr>
        </w:div>
        <w:div w:id="635141238">
          <w:marLeft w:val="0"/>
          <w:marRight w:val="0"/>
          <w:marTop w:val="0"/>
          <w:marBottom w:val="0"/>
          <w:divBdr>
            <w:top w:val="none" w:sz="0" w:space="0" w:color="auto"/>
            <w:left w:val="none" w:sz="0" w:space="0" w:color="auto"/>
            <w:bottom w:val="none" w:sz="0" w:space="0" w:color="auto"/>
            <w:right w:val="none" w:sz="0" w:space="0" w:color="auto"/>
          </w:divBdr>
          <w:divsChild>
            <w:div w:id="706370958">
              <w:marLeft w:val="0"/>
              <w:marRight w:val="0"/>
              <w:marTop w:val="0"/>
              <w:marBottom w:val="0"/>
              <w:divBdr>
                <w:top w:val="none" w:sz="0" w:space="0" w:color="auto"/>
                <w:left w:val="none" w:sz="0" w:space="0" w:color="auto"/>
                <w:bottom w:val="none" w:sz="0" w:space="0" w:color="auto"/>
                <w:right w:val="none" w:sz="0" w:space="0" w:color="auto"/>
              </w:divBdr>
              <w:divsChild>
                <w:div w:id="115372208">
                  <w:marLeft w:val="0"/>
                  <w:marRight w:val="0"/>
                  <w:marTop w:val="0"/>
                  <w:marBottom w:val="600"/>
                  <w:divBdr>
                    <w:top w:val="none" w:sz="0" w:space="0" w:color="auto"/>
                    <w:left w:val="none" w:sz="0" w:space="0" w:color="auto"/>
                    <w:bottom w:val="none" w:sz="0" w:space="0" w:color="auto"/>
                    <w:right w:val="none" w:sz="0" w:space="0" w:color="auto"/>
                  </w:divBdr>
                  <w:divsChild>
                    <w:div w:id="563833139">
                      <w:marLeft w:val="0"/>
                      <w:marRight w:val="0"/>
                      <w:marTop w:val="0"/>
                      <w:marBottom w:val="360"/>
                      <w:divBdr>
                        <w:top w:val="single" w:sz="12" w:space="15" w:color="D5D5D5"/>
                        <w:left w:val="single" w:sz="12" w:space="8" w:color="D5D5D5"/>
                        <w:bottom w:val="single" w:sz="12" w:space="15" w:color="D5D5D5"/>
                        <w:right w:val="single" w:sz="12" w:space="8" w:color="D5D5D5"/>
                      </w:divBdr>
                      <w:divsChild>
                        <w:div w:id="1269199334">
                          <w:marLeft w:val="0"/>
                          <w:marRight w:val="0"/>
                          <w:marTop w:val="0"/>
                          <w:marBottom w:val="240"/>
                          <w:divBdr>
                            <w:top w:val="none" w:sz="0" w:space="0" w:color="auto"/>
                            <w:left w:val="none" w:sz="0" w:space="0" w:color="auto"/>
                            <w:bottom w:val="none" w:sz="0" w:space="0" w:color="auto"/>
                            <w:right w:val="none" w:sz="0" w:space="0" w:color="auto"/>
                          </w:divBdr>
                          <w:divsChild>
                            <w:div w:id="140926760">
                              <w:marLeft w:val="0"/>
                              <w:marRight w:val="0"/>
                              <w:marTop w:val="0"/>
                              <w:marBottom w:val="0"/>
                              <w:divBdr>
                                <w:top w:val="none" w:sz="0" w:space="0" w:color="auto"/>
                                <w:left w:val="none" w:sz="0" w:space="0" w:color="auto"/>
                                <w:bottom w:val="none" w:sz="0" w:space="0" w:color="auto"/>
                                <w:right w:val="none" w:sz="0" w:space="0" w:color="auto"/>
                              </w:divBdr>
                            </w:div>
                            <w:div w:id="71585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510268">
                      <w:marLeft w:val="0"/>
                      <w:marRight w:val="0"/>
                      <w:marTop w:val="0"/>
                      <w:marBottom w:val="360"/>
                      <w:divBdr>
                        <w:top w:val="single" w:sz="12" w:space="15" w:color="D5D5D5"/>
                        <w:left w:val="single" w:sz="12" w:space="8" w:color="D5D5D5"/>
                        <w:bottom w:val="single" w:sz="12" w:space="15" w:color="D5D5D5"/>
                        <w:right w:val="single" w:sz="12" w:space="8" w:color="D5D5D5"/>
                      </w:divBdr>
                      <w:divsChild>
                        <w:div w:id="317609288">
                          <w:marLeft w:val="0"/>
                          <w:marRight w:val="0"/>
                          <w:marTop w:val="0"/>
                          <w:marBottom w:val="240"/>
                          <w:divBdr>
                            <w:top w:val="none" w:sz="0" w:space="0" w:color="auto"/>
                            <w:left w:val="none" w:sz="0" w:space="0" w:color="auto"/>
                            <w:bottom w:val="none" w:sz="0" w:space="0" w:color="auto"/>
                            <w:right w:val="none" w:sz="0" w:space="0" w:color="auto"/>
                          </w:divBdr>
                          <w:divsChild>
                            <w:div w:id="2009940592">
                              <w:marLeft w:val="0"/>
                              <w:marRight w:val="0"/>
                              <w:marTop w:val="0"/>
                              <w:marBottom w:val="0"/>
                              <w:divBdr>
                                <w:top w:val="none" w:sz="0" w:space="0" w:color="auto"/>
                                <w:left w:val="none" w:sz="0" w:space="0" w:color="auto"/>
                                <w:bottom w:val="none" w:sz="0" w:space="0" w:color="auto"/>
                                <w:right w:val="none" w:sz="0" w:space="0" w:color="auto"/>
                              </w:divBdr>
                            </w:div>
                            <w:div w:id="143061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261483">
              <w:marLeft w:val="0"/>
              <w:marRight w:val="0"/>
              <w:marTop w:val="0"/>
              <w:marBottom w:val="0"/>
              <w:divBdr>
                <w:top w:val="none" w:sz="0" w:space="0" w:color="auto"/>
                <w:left w:val="none" w:sz="0" w:space="0" w:color="auto"/>
                <w:bottom w:val="none" w:sz="0" w:space="0" w:color="auto"/>
                <w:right w:val="none" w:sz="0" w:space="0" w:color="auto"/>
              </w:divBdr>
              <w:divsChild>
                <w:div w:id="939262803">
                  <w:marLeft w:val="0"/>
                  <w:marRight w:val="0"/>
                  <w:marTop w:val="0"/>
                  <w:marBottom w:val="600"/>
                  <w:divBdr>
                    <w:top w:val="none" w:sz="0" w:space="0" w:color="auto"/>
                    <w:left w:val="none" w:sz="0" w:space="0" w:color="auto"/>
                    <w:bottom w:val="none" w:sz="0" w:space="0" w:color="auto"/>
                    <w:right w:val="none" w:sz="0" w:space="0" w:color="auto"/>
                  </w:divBdr>
                </w:div>
              </w:divsChild>
            </w:div>
            <w:div w:id="1412503521">
              <w:marLeft w:val="0"/>
              <w:marRight w:val="0"/>
              <w:marTop w:val="0"/>
              <w:marBottom w:val="0"/>
              <w:divBdr>
                <w:top w:val="none" w:sz="0" w:space="0" w:color="auto"/>
                <w:left w:val="none" w:sz="0" w:space="0" w:color="auto"/>
                <w:bottom w:val="none" w:sz="0" w:space="0" w:color="auto"/>
                <w:right w:val="none" w:sz="0" w:space="0" w:color="auto"/>
              </w:divBdr>
              <w:divsChild>
                <w:div w:id="15711690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576288129">
          <w:marLeft w:val="0"/>
          <w:marRight w:val="0"/>
          <w:marTop w:val="0"/>
          <w:marBottom w:val="0"/>
          <w:divBdr>
            <w:top w:val="none" w:sz="0" w:space="0" w:color="auto"/>
            <w:left w:val="none" w:sz="0" w:space="0" w:color="auto"/>
            <w:bottom w:val="none" w:sz="0" w:space="0" w:color="auto"/>
            <w:right w:val="none" w:sz="0" w:space="0" w:color="auto"/>
          </w:divBdr>
          <w:divsChild>
            <w:div w:id="315451342">
              <w:marLeft w:val="0"/>
              <w:marRight w:val="0"/>
              <w:marTop w:val="0"/>
              <w:marBottom w:val="0"/>
              <w:divBdr>
                <w:top w:val="none" w:sz="0" w:space="0" w:color="auto"/>
                <w:left w:val="none" w:sz="0" w:space="0" w:color="auto"/>
                <w:bottom w:val="none" w:sz="0" w:space="0" w:color="auto"/>
                <w:right w:val="none" w:sz="0" w:space="0" w:color="auto"/>
              </w:divBdr>
              <w:divsChild>
                <w:div w:id="2066416791">
                  <w:marLeft w:val="0"/>
                  <w:marRight w:val="0"/>
                  <w:marTop w:val="0"/>
                  <w:marBottom w:val="600"/>
                  <w:divBdr>
                    <w:top w:val="none" w:sz="0" w:space="0" w:color="auto"/>
                    <w:left w:val="none" w:sz="0" w:space="0" w:color="auto"/>
                    <w:bottom w:val="none" w:sz="0" w:space="0" w:color="auto"/>
                    <w:right w:val="none" w:sz="0" w:space="0" w:color="auto"/>
                  </w:divBdr>
                </w:div>
              </w:divsChild>
            </w:div>
            <w:div w:id="81222365">
              <w:marLeft w:val="0"/>
              <w:marRight w:val="0"/>
              <w:marTop w:val="0"/>
              <w:marBottom w:val="0"/>
              <w:divBdr>
                <w:top w:val="none" w:sz="0" w:space="0" w:color="auto"/>
                <w:left w:val="none" w:sz="0" w:space="0" w:color="auto"/>
                <w:bottom w:val="none" w:sz="0" w:space="0" w:color="auto"/>
                <w:right w:val="none" w:sz="0" w:space="0" w:color="auto"/>
              </w:divBdr>
              <w:divsChild>
                <w:div w:id="1946883994">
                  <w:marLeft w:val="0"/>
                  <w:marRight w:val="0"/>
                  <w:marTop w:val="0"/>
                  <w:marBottom w:val="0"/>
                  <w:divBdr>
                    <w:top w:val="none" w:sz="0" w:space="0" w:color="auto"/>
                    <w:left w:val="none" w:sz="0" w:space="0" w:color="auto"/>
                    <w:bottom w:val="none" w:sz="0" w:space="0" w:color="auto"/>
                    <w:right w:val="none" w:sz="0" w:space="0" w:color="auto"/>
                  </w:divBdr>
                  <w:divsChild>
                    <w:div w:id="1736081323">
                      <w:marLeft w:val="0"/>
                      <w:marRight w:val="0"/>
                      <w:marTop w:val="0"/>
                      <w:marBottom w:val="600"/>
                      <w:divBdr>
                        <w:top w:val="none" w:sz="0" w:space="0" w:color="auto"/>
                        <w:left w:val="none" w:sz="0" w:space="0" w:color="auto"/>
                        <w:bottom w:val="none" w:sz="0" w:space="0" w:color="auto"/>
                        <w:right w:val="none" w:sz="0" w:space="0" w:color="auto"/>
                      </w:divBdr>
                      <w:divsChild>
                        <w:div w:id="70925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851007">
              <w:marLeft w:val="0"/>
              <w:marRight w:val="0"/>
              <w:marTop w:val="0"/>
              <w:marBottom w:val="0"/>
              <w:divBdr>
                <w:top w:val="none" w:sz="0" w:space="0" w:color="auto"/>
                <w:left w:val="none" w:sz="0" w:space="0" w:color="auto"/>
                <w:bottom w:val="none" w:sz="0" w:space="0" w:color="auto"/>
                <w:right w:val="none" w:sz="0" w:space="0" w:color="auto"/>
              </w:divBdr>
              <w:divsChild>
                <w:div w:id="1826510362">
                  <w:marLeft w:val="0"/>
                  <w:marRight w:val="0"/>
                  <w:marTop w:val="0"/>
                  <w:marBottom w:val="600"/>
                  <w:divBdr>
                    <w:top w:val="none" w:sz="0" w:space="0" w:color="auto"/>
                    <w:left w:val="none" w:sz="0" w:space="0" w:color="auto"/>
                    <w:bottom w:val="none" w:sz="0" w:space="0" w:color="auto"/>
                    <w:right w:val="none" w:sz="0" w:space="0" w:color="auto"/>
                  </w:divBdr>
                </w:div>
              </w:divsChild>
            </w:div>
            <w:div w:id="1444687956">
              <w:marLeft w:val="0"/>
              <w:marRight w:val="0"/>
              <w:marTop w:val="0"/>
              <w:marBottom w:val="0"/>
              <w:divBdr>
                <w:top w:val="none" w:sz="0" w:space="0" w:color="auto"/>
                <w:left w:val="none" w:sz="0" w:space="0" w:color="auto"/>
                <w:bottom w:val="none" w:sz="0" w:space="0" w:color="auto"/>
                <w:right w:val="none" w:sz="0" w:space="0" w:color="auto"/>
              </w:divBdr>
              <w:divsChild>
                <w:div w:id="63178612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56383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ature.com/articles/s41599-022-01073-z" TargetMode="External"/><Relationship Id="rId117" Type="http://schemas.openxmlformats.org/officeDocument/2006/relationships/hyperlink" Target="https://www.kff.org/policy-watch/early-state-vaccination-data-raise-warning-flags-racial-equity/" TargetMode="External"/><Relationship Id="rId21" Type="http://schemas.openxmlformats.org/officeDocument/2006/relationships/hyperlink" Target="https://www.nature.com/articles/s41599-022-01073-z" TargetMode="External"/><Relationship Id="rId42" Type="http://schemas.openxmlformats.org/officeDocument/2006/relationships/hyperlink" Target="https://www.nature.com/articles/s41599-022-01073-z" TargetMode="External"/><Relationship Id="rId47" Type="http://schemas.openxmlformats.org/officeDocument/2006/relationships/hyperlink" Target="https://www.nature.com/articles/s41599-022-01073-z" TargetMode="External"/><Relationship Id="rId63" Type="http://schemas.openxmlformats.org/officeDocument/2006/relationships/hyperlink" Target="https://www.nature.com/articles/s41599-022-01073-z" TargetMode="External"/><Relationship Id="rId68" Type="http://schemas.openxmlformats.org/officeDocument/2006/relationships/hyperlink" Target="https://www.nature.com/articles/s41599-022-01073-z" TargetMode="External"/><Relationship Id="rId84" Type="http://schemas.openxmlformats.org/officeDocument/2006/relationships/hyperlink" Target="http://scholar.google.com/scholar_lookup?&amp;title=A%20retrospective%20on%20fundamental%20cause%20theory%3A%20state%20of%20the%20literature%20and%20goals%20for%20the%20future&amp;journal=Ann%20Rev%20Sociol&amp;doi=10.1146%2Fannurev-soc-090320-094912&amp;volume=47&amp;pages=131-156&amp;publication_year=2021&amp;author=Clouston%2CSA&amp;author=Link%2CBG" TargetMode="External"/><Relationship Id="rId89" Type="http://schemas.openxmlformats.org/officeDocument/2006/relationships/hyperlink" Target="https://www.politico.com/news/2021/02/01/covid-vaccine-racial-disparities-464387" TargetMode="External"/><Relationship Id="rId112" Type="http://schemas.openxmlformats.org/officeDocument/2006/relationships/hyperlink" Target="http://www.ncbi.nlm.nih.gov/entrez/query.fcgi?cmd=Retrieve&amp;db=PubMed&amp;dopt=Abstract&amp;list_uids=33082575" TargetMode="External"/><Relationship Id="rId133" Type="http://schemas.openxmlformats.org/officeDocument/2006/relationships/hyperlink" Target="http://scholar.google.com/scholar_lookup?&amp;title=The%20double%20burden%20of%20COVID-19&amp;journal=Scand%20J%20Public%20Health&amp;doi=10.1177%2F1403494820984702&amp;volume=49&amp;issue=1&amp;pages=1-4&amp;publication_year=2021&amp;author=Smith%20Jervelund%2CS&amp;author=Eikemo%2CTA" TargetMode="External"/><Relationship Id="rId138" Type="http://schemas.openxmlformats.org/officeDocument/2006/relationships/hyperlink" Target="https://doi.org/10.1111%2Fj.1468-0009.2012.00675.x" TargetMode="External"/><Relationship Id="rId16" Type="http://schemas.openxmlformats.org/officeDocument/2006/relationships/hyperlink" Target="https://www.nature.com/articles/s41599-022-01073-z" TargetMode="External"/><Relationship Id="rId107" Type="http://schemas.openxmlformats.org/officeDocument/2006/relationships/hyperlink" Target="http://scholar.google.com/scholar_lookup?&amp;title=Public%20health%2C%20nutrition%2C%20and%20the%20decline%20of%20mortality%3A%20The%20McKeown%20thesis%20revisited&amp;journal=Soc%20Hist%20Med&amp;doi=10.1093%2Fshm%2F17.3.379&amp;volume=17&amp;pages=379-407&amp;publication_year=2004&amp;author=Harris%2CB" TargetMode="External"/><Relationship Id="rId11" Type="http://schemas.openxmlformats.org/officeDocument/2006/relationships/hyperlink" Target="https://www.nature.com/palcomms" TargetMode="External"/><Relationship Id="rId32" Type="http://schemas.openxmlformats.org/officeDocument/2006/relationships/hyperlink" Target="https://www.nature.com/articles/s41599-022-01073-z" TargetMode="External"/><Relationship Id="rId37" Type="http://schemas.openxmlformats.org/officeDocument/2006/relationships/hyperlink" Target="https://www.nature.com/articles/s41599-022-01073-z" TargetMode="External"/><Relationship Id="rId53" Type="http://schemas.openxmlformats.org/officeDocument/2006/relationships/hyperlink" Target="https://www.nature.com/articles/s41599-022-01073-z" TargetMode="External"/><Relationship Id="rId58" Type="http://schemas.openxmlformats.org/officeDocument/2006/relationships/hyperlink" Target="https://www.nature.com/articles/s41599-022-01073-z" TargetMode="External"/><Relationship Id="rId74" Type="http://schemas.openxmlformats.org/officeDocument/2006/relationships/hyperlink" Target="https://doi.org/10.1136/jech-2020-214401" TargetMode="External"/><Relationship Id="rId79" Type="http://schemas.openxmlformats.org/officeDocument/2006/relationships/hyperlink" Target="http://www.ncbi.nlm.nih.gov/entrez/query.fcgi?cmd=Retrieve&amp;db=PubMed&amp;dopt=Abstract&amp;list_uids=34115978" TargetMode="External"/><Relationship Id="rId102" Type="http://schemas.openxmlformats.org/officeDocument/2006/relationships/hyperlink" Target="https://doi.org/10.1001%2Fjamanetworkopen.2020.25197" TargetMode="External"/><Relationship Id="rId123" Type="http://schemas.openxmlformats.org/officeDocument/2006/relationships/hyperlink" Target="http://scholar.google.com/scholar_lookup?&amp;title=Inequality%2C%20diffusion%2C%20and%20the%20status%20gradient%20in%20smoking&amp;journal=Soc%20Problems&amp;doi=10.1525%2Fsp.2002.49.1.35&amp;volume=49&amp;issue=1&amp;pages=35-57&amp;publication_year=2002&amp;author=Pampel%2CFC" TargetMode="External"/><Relationship Id="rId128" Type="http://schemas.openxmlformats.org/officeDocument/2006/relationships/hyperlink" Target="http://scholar.google.com/scholar_lookup?&amp;title=Hospitalization%20and%20mortality%20among%20black%20patients%20and%20white%20patients%20with%20Covid-19&amp;journal=New%20Engl%20J%20Med&amp;doi=10.1056%2FNEJMsa2011686&amp;volume=382&amp;issue=26&amp;pages=2534-2543&amp;publication_year=2020&amp;author=Price-Haywood%2CEG&amp;author=Burton%2CJ&amp;author=Fort%2CD&amp;author=Seoane%2CL" TargetMode="External"/><Relationship Id="rId144" Type="http://schemas.openxmlformats.org/officeDocument/2006/relationships/hyperlink" Target="https://doi.org/10.1038%2Fs41586-020-2521-4" TargetMode="External"/><Relationship Id="rId149" Type="http://schemas.openxmlformats.org/officeDocument/2006/relationships/hyperlink" Target="http://scholar.google.com/scholar_lookup?&amp;title=The%20%28re%29%20production%20of%20health%20inequalities%20through%20the%20process%20of%20disseminating%20preventive%20innovations%3A%20the%20dynamic%20influence%20of%20socioeconomic%20status&amp;journal=Health%20Sociol%20Rev&amp;doi=10.1080%2F14461242.2019.1601027&amp;volume=28&amp;issue=2&amp;pages=177-193&amp;publication_year=2019&amp;author=Zapata-Moya%2C%C3%81R&amp;author=Willems%2CB&amp;author=Bracke%2CP" TargetMode="External"/><Relationship Id="rId5" Type="http://schemas.openxmlformats.org/officeDocument/2006/relationships/webSettings" Target="webSettings.xml"/><Relationship Id="rId90" Type="http://schemas.openxmlformats.org/officeDocument/2006/relationships/hyperlink" Target="https://doi.org/10.1038%2Fs41467-020-18926-3" TargetMode="External"/><Relationship Id="rId95" Type="http://schemas.openxmlformats.org/officeDocument/2006/relationships/hyperlink" Target="http://scholar.google.com/scholar_lookup?&amp;title=Educational%20inequalities%20in%20hospital%20care%20for%20mortally%20ill%20patients%20in%20Norway&amp;journal=Scand%20J%20Public%20Health&amp;doi=10.1177%2F1403494817705998&amp;volume=46&amp;issue=1&amp;pages=74-82&amp;publication_year=2018&amp;author=Elstad%2CJI" TargetMode="External"/><Relationship Id="rId22" Type="http://schemas.openxmlformats.org/officeDocument/2006/relationships/hyperlink" Target="https://www.nature.com/articles/s41599-022-01073-z" TargetMode="External"/><Relationship Id="rId27" Type="http://schemas.openxmlformats.org/officeDocument/2006/relationships/hyperlink" Target="https://www.nature.com/articles/s41599-022-01073-z" TargetMode="External"/><Relationship Id="rId43" Type="http://schemas.openxmlformats.org/officeDocument/2006/relationships/hyperlink" Target="https://www.nature.com/articles/s41599-022-01073-z" TargetMode="External"/><Relationship Id="rId48" Type="http://schemas.openxmlformats.org/officeDocument/2006/relationships/hyperlink" Target="https://www.nature.com/articles/s41599-022-01073-z" TargetMode="External"/><Relationship Id="rId64" Type="http://schemas.openxmlformats.org/officeDocument/2006/relationships/hyperlink" Target="https://www.nature.com/articles/s41599-022-01073-z" TargetMode="External"/><Relationship Id="rId69" Type="http://schemas.openxmlformats.org/officeDocument/2006/relationships/hyperlink" Target="https://www.nature.com/articles/s41599-022-01073-z" TargetMode="External"/><Relationship Id="rId113" Type="http://schemas.openxmlformats.org/officeDocument/2006/relationships/hyperlink" Target="http://scholar.google.com/scholar_lookup?&amp;title=A%20global%20survey%20of%20potential%20acceptance%20of%20a%20COVID-19%20vaccine&amp;journal=Nat%20Med&amp;doi=10.1038%2Fs41591-020-1124-9&amp;volume=27&amp;issue=2&amp;pages=225-228&amp;publication_year=2021&amp;author=Lazarus%2CJV&amp;author=Ratzan%2CSC&amp;author=Palayew%2CA&amp;author=Gostin%2CLO&amp;author=Larson%2CHJ&amp;author=Rabin%2CK&amp;author=Kimball%2CS&amp;author=El-Mohandes%2CA" TargetMode="External"/><Relationship Id="rId118" Type="http://schemas.openxmlformats.org/officeDocument/2006/relationships/hyperlink" Target="https://doi.org/10.1177%2F0001699320976745" TargetMode="External"/><Relationship Id="rId134" Type="http://schemas.openxmlformats.org/officeDocument/2006/relationships/hyperlink" Target="https://doi.org/10.1080/17441692.2021.1987502" TargetMode="External"/><Relationship Id="rId139" Type="http://schemas.openxmlformats.org/officeDocument/2006/relationships/hyperlink" Target="http://scholar.google.com/scholar_lookup?&amp;title=Fundamental%20causes%20of%20colorectal%20cancer%20mortality%3A%20the%20implications%20of%20informational%20diffusion&amp;journal=Milbank%20Quar&amp;doi=10.1111%2Fj.1468-0009.2012.00675.x&amp;volume=90&amp;issue=3&amp;pages=592-618&amp;publication_year=2012&amp;author=Wang%2CA&amp;author=Clouston%2CSAP&amp;author=Rubin%2CMS&amp;author=Colen%2CCG&amp;author=Link%2CBG" TargetMode="External"/><Relationship Id="rId80" Type="http://schemas.openxmlformats.org/officeDocument/2006/relationships/hyperlink" Target="http://scholar.google.com/scholar_lookup?&amp;title=Epidemiology%2C%20not%20geopolitics%2C%20should%20guide%20COVID-19%20vaccine%20donations&amp;journal=Lancet&amp;doi=10.1016%2FS0140-6736%2821%2901323-4&amp;volume=398&amp;issue=10295&amp;pages=97-99&amp;publication_year=2021&amp;author=Bollyky%2CTJ&amp;author=Murray%2CCJL&amp;author=Reiner%2CRC" TargetMode="External"/><Relationship Id="rId85" Type="http://schemas.openxmlformats.org/officeDocument/2006/relationships/hyperlink" Target="https://doi.org/10.1007%2Fs13524-016-0495-5" TargetMode="External"/><Relationship Id="rId150" Type="http://schemas.openxmlformats.org/officeDocument/2006/relationships/hyperlink" Target="https://citation-needed.springer.com/v2/references/10.1057/s41599-022-01073-z?format=refman&amp;flavour=references" TargetMode="External"/><Relationship Id="rId12" Type="http://schemas.openxmlformats.org/officeDocument/2006/relationships/hyperlink" Target="https://www.nature.com/articles/s41599-022-01073-z" TargetMode="External"/><Relationship Id="rId17" Type="http://schemas.openxmlformats.org/officeDocument/2006/relationships/hyperlink" Target="https://www.nature.com/articles/s41599-022-01073-z" TargetMode="External"/><Relationship Id="rId25" Type="http://schemas.openxmlformats.org/officeDocument/2006/relationships/hyperlink" Target="https://www.nature.com/articles/s41599-022-01073-z/figures/1" TargetMode="External"/><Relationship Id="rId33" Type="http://schemas.openxmlformats.org/officeDocument/2006/relationships/hyperlink" Target="https://www.nature.com/articles/s41599-022-01073-z" TargetMode="External"/><Relationship Id="rId38" Type="http://schemas.openxmlformats.org/officeDocument/2006/relationships/hyperlink" Target="https://www.nature.com/articles/s41599-022-01073-z" TargetMode="External"/><Relationship Id="rId46" Type="http://schemas.openxmlformats.org/officeDocument/2006/relationships/hyperlink" Target="https://www.nature.com/articles/s41599-022-01073-z" TargetMode="External"/><Relationship Id="rId59" Type="http://schemas.openxmlformats.org/officeDocument/2006/relationships/hyperlink" Target="https://www.nature.com/articles/s41599-022-01073-z" TargetMode="External"/><Relationship Id="rId67" Type="http://schemas.openxmlformats.org/officeDocument/2006/relationships/hyperlink" Target="https://www.nature.com/articles/s41599-022-01073-z" TargetMode="External"/><Relationship Id="rId103" Type="http://schemas.openxmlformats.org/officeDocument/2006/relationships/hyperlink" Target="http://www.ncbi.nlm.nih.gov/entrez/query.fcgi?cmd=Retrieve&amp;db=PubMed&amp;dopt=Abstract&amp;list_uids=33084902" TargetMode="External"/><Relationship Id="rId108" Type="http://schemas.openxmlformats.org/officeDocument/2006/relationships/hyperlink" Target="https://www.nytimes.com/interactive/2021/world/covid-vaccinations-tracker.html" TargetMode="External"/><Relationship Id="rId116" Type="http://schemas.openxmlformats.org/officeDocument/2006/relationships/hyperlink" Target="https://doi.org/10.1177/1403494821997228" TargetMode="External"/><Relationship Id="rId124" Type="http://schemas.openxmlformats.org/officeDocument/2006/relationships/hyperlink" Target="https://doi.org/10.1056/NEJMsa2011686" TargetMode="External"/><Relationship Id="rId129" Type="http://schemas.openxmlformats.org/officeDocument/2006/relationships/hyperlink" Target="https://blogs.worldbank.org/opendata/relative-severity-covid-19-mortality-new-indicator-world-banks-data-platform" TargetMode="External"/><Relationship Id="rId137" Type="http://schemas.openxmlformats.org/officeDocument/2006/relationships/hyperlink" Target="https://doi.org/10.1111/j.1468-0009.2012.00675.x" TargetMode="External"/><Relationship Id="rId20" Type="http://schemas.openxmlformats.org/officeDocument/2006/relationships/hyperlink" Target="https://www.nature.com/articles/s41599-022-01073-z" TargetMode="External"/><Relationship Id="rId41" Type="http://schemas.openxmlformats.org/officeDocument/2006/relationships/hyperlink" Target="https://www.nature.com/articles/s41599-022-01073-z" TargetMode="External"/><Relationship Id="rId54" Type="http://schemas.openxmlformats.org/officeDocument/2006/relationships/hyperlink" Target="https://www.nature.com/articles/s41599-022-01073-z/figures/2" TargetMode="External"/><Relationship Id="rId62" Type="http://schemas.openxmlformats.org/officeDocument/2006/relationships/hyperlink" Target="https://www.nature.com/articles/s41599-022-01073-z" TargetMode="External"/><Relationship Id="rId70" Type="http://schemas.openxmlformats.org/officeDocument/2006/relationships/hyperlink" Target="https://doi.org/10.1177/1403494818770298" TargetMode="External"/><Relationship Id="rId75" Type="http://schemas.openxmlformats.org/officeDocument/2006/relationships/hyperlink" Target="https://www.gavi.org/vaccineswork/covax-explained" TargetMode="External"/><Relationship Id="rId83" Type="http://schemas.openxmlformats.org/officeDocument/2006/relationships/hyperlink" Target="https://doi.org/10.1146%2Fannurev-soc-090320-094912" TargetMode="External"/><Relationship Id="rId88" Type="http://schemas.openxmlformats.org/officeDocument/2006/relationships/hyperlink" Target="http://scholar.google.com/scholar_lookup?&amp;title=The%20determinants%20of%20mortality&amp;journal=J%20Econ%20Perspect&amp;doi=10.1257%2Fjep.20.3.97&amp;volume=20&amp;issue=3&amp;pages=97-120&amp;publication_year=2006&amp;author=Cutler%2CD&amp;author=Deaton%2CA&amp;author=Lleras-Muney%2CA" TargetMode="External"/><Relationship Id="rId91" Type="http://schemas.openxmlformats.org/officeDocument/2006/relationships/hyperlink" Target="http://scholar.google.com/scholar_lookup?&amp;title=A%20population-based%20cohort%20study%20of%20socio-demographic%20risk%20factors%20for%20COVID-19%20deaths%20in%20Sweden&amp;journal=Nat%20Commun&amp;doi=10.1038%2Fs41467-020-18926-3&amp;volume=11&amp;issue=1&amp;pages=1-7&amp;publication_year=2020&amp;author=Drefahl%2CS" TargetMode="External"/><Relationship Id="rId96" Type="http://schemas.openxmlformats.org/officeDocument/2006/relationships/hyperlink" Target="https://doi.org/10.1136%2Fjech.2004.025684" TargetMode="External"/><Relationship Id="rId111" Type="http://schemas.openxmlformats.org/officeDocument/2006/relationships/hyperlink" Target="https://www.nature.com/articles/cas-redirect/1:CAS:528:DC%2BB3cXitFagsrjI" TargetMode="External"/><Relationship Id="rId132" Type="http://schemas.openxmlformats.org/officeDocument/2006/relationships/hyperlink" Target="http://www.ncbi.nlm.nih.gov/entrez/query.fcgi?cmd=Retrieve&amp;db=PubMed&amp;dopt=Abstract&amp;list_uids=33528311" TargetMode="External"/><Relationship Id="rId140" Type="http://schemas.openxmlformats.org/officeDocument/2006/relationships/hyperlink" Target="https://doi.org/10.1111%2F1467-9566.13147" TargetMode="External"/><Relationship Id="rId145" Type="http://schemas.openxmlformats.org/officeDocument/2006/relationships/hyperlink" Target="https://www.nature.com/articles/cas-redirect/1:CAS:528:DC%2BB3cXhsFegtbzK" TargetMode="External"/><Relationship Id="rId1" Type="http://schemas.openxmlformats.org/officeDocument/2006/relationships/numbering" Target="numbering.xml"/><Relationship Id="rId6" Type="http://schemas.openxmlformats.org/officeDocument/2006/relationships/hyperlink" Target="https://www.nature.com/articles/s41599-022-01073-z" TargetMode="External"/><Relationship Id="rId15" Type="http://schemas.openxmlformats.org/officeDocument/2006/relationships/hyperlink" Target="https://www.nature.com/articles/s41599-022-01073-z" TargetMode="External"/><Relationship Id="rId23" Type="http://schemas.openxmlformats.org/officeDocument/2006/relationships/hyperlink" Target="https://www.nature.com/articles/s41599-022-01073-z/figures/1" TargetMode="External"/><Relationship Id="rId28" Type="http://schemas.openxmlformats.org/officeDocument/2006/relationships/hyperlink" Target="https://www.nature.com/articles/s41599-022-01073-z" TargetMode="External"/><Relationship Id="rId36" Type="http://schemas.openxmlformats.org/officeDocument/2006/relationships/hyperlink" Target="https://www.nature.com/articles/s41599-022-01073-z" TargetMode="External"/><Relationship Id="rId49" Type="http://schemas.openxmlformats.org/officeDocument/2006/relationships/hyperlink" Target="https://www.nature.com/articles/s41599-022-01073-z" TargetMode="External"/><Relationship Id="rId57" Type="http://schemas.openxmlformats.org/officeDocument/2006/relationships/hyperlink" Target="https://www.nature.com/articles/s41599-022-01073-z" TargetMode="External"/><Relationship Id="rId106" Type="http://schemas.openxmlformats.org/officeDocument/2006/relationships/hyperlink" Target="https://doi.org/10.1093%2Fshm%2F17.3.379" TargetMode="External"/><Relationship Id="rId114" Type="http://schemas.openxmlformats.org/officeDocument/2006/relationships/hyperlink" Target="https://doi.org/10.2307%2F2626958" TargetMode="External"/><Relationship Id="rId119" Type="http://schemas.openxmlformats.org/officeDocument/2006/relationships/hyperlink" Target="http://scholar.google.com/scholar_lookup?&amp;title=Need%2C%20competence%20and%20compliance%3A%20Selective%20empowering%20in%20the%20distribution%20of%20medical%20technologies%20in%20the%20Norwegian%20health%20care%20system&amp;journal=Acta%20Sociol&amp;doi=10.1177%2F0001699320976745&amp;volume=64&amp;issue=2&amp;pages=184-197&amp;publication_year=2021&amp;author=%C3%98versveen%2CE" TargetMode="External"/><Relationship Id="rId127" Type="http://schemas.openxmlformats.org/officeDocument/2006/relationships/hyperlink" Target="http://www.ncbi.nlm.nih.gov/entrez/query.fcgi?cmd=Retrieve&amp;db=PubMed&amp;dopt=Abstract&amp;list_uids=32459916" TargetMode="External"/><Relationship Id="rId10" Type="http://schemas.openxmlformats.org/officeDocument/2006/relationships/hyperlink" Target="https://www.nature.com/articles/s41599-022-01073-z" TargetMode="External"/><Relationship Id="rId31" Type="http://schemas.openxmlformats.org/officeDocument/2006/relationships/hyperlink" Target="https://www.nature.com/articles/s41599-022-01073-z" TargetMode="External"/><Relationship Id="rId44" Type="http://schemas.openxmlformats.org/officeDocument/2006/relationships/hyperlink" Target="https://www.nature.com/articles/s41599-022-01073-z" TargetMode="External"/><Relationship Id="rId52" Type="http://schemas.openxmlformats.org/officeDocument/2006/relationships/image" Target="media/image2.png"/><Relationship Id="rId60" Type="http://schemas.openxmlformats.org/officeDocument/2006/relationships/hyperlink" Target="https://www.nature.com/articles/s41599-022-01073-z" TargetMode="External"/><Relationship Id="rId65" Type="http://schemas.openxmlformats.org/officeDocument/2006/relationships/hyperlink" Target="https://www.nature.com/articles/s41599-022-01073-z" TargetMode="External"/><Relationship Id="rId73" Type="http://schemas.openxmlformats.org/officeDocument/2006/relationships/hyperlink" Target="http://scholar.google.com/scholar_lookup?&amp;title=Could%20information%20about%20herd%20immunity%20help%20us%20achieve%20herd%20immunity%3F%20Evidence%20from%20a%20population%20representative%20survey%20experiment&amp;journal=Scand%20J%20Public%20Health&amp;doi=10.1177%2F1403494818770298&amp;volume=46&amp;issue=8&amp;pages=854-858&amp;publication_year=2018&amp;author=Arnesen%2CS&amp;author=B%C3%A6r%C3%B8e%2CK&amp;author=Cappelen%2CC&amp;author=Carlsen%2CB" TargetMode="External"/><Relationship Id="rId78" Type="http://schemas.openxmlformats.org/officeDocument/2006/relationships/hyperlink" Target="https://www.nature.com/articles/cas-redirect/1:CAS:528:DC%2BB3MXhtlegtLnJ" TargetMode="External"/><Relationship Id="rId81" Type="http://schemas.openxmlformats.org/officeDocument/2006/relationships/hyperlink" Target="https://doi.org/10.1101/2021.12.12.472269" TargetMode="External"/><Relationship Id="rId86" Type="http://schemas.openxmlformats.org/officeDocument/2006/relationships/hyperlink" Target="http://scholar.google.com/scholar_lookup?&amp;title=A%20social%20history%20of%20disease%3A%20contextualizing%20the%20rise%20and%20fall%20of%20social%20inequalities%20in%20cause-specific%20mortality&amp;journal=Demography&amp;doi=10.1007%2Fs13524-016-0495-5&amp;volume=53&amp;issue=5&amp;pages=1631-1656&amp;publication_year=2016&amp;author=Clouston%2CSA&amp;author=Rubin%2CMS&amp;author=Phelan%2CJC&amp;author=Link%2CBG" TargetMode="External"/><Relationship Id="rId94" Type="http://schemas.openxmlformats.org/officeDocument/2006/relationships/hyperlink" Target="http://www.ncbi.nlm.nih.gov/entrez/query.fcgi?cmd=Retrieve&amp;db=PubMed&amp;dopt=Abstract&amp;list_uids=28653566" TargetMode="External"/><Relationship Id="rId99" Type="http://schemas.openxmlformats.org/officeDocument/2006/relationships/hyperlink" Target="https://doi.org/10.1353%2Fdem.0.0017" TargetMode="External"/><Relationship Id="rId101" Type="http://schemas.openxmlformats.org/officeDocument/2006/relationships/hyperlink" Target="https://doi.org/10.1001/jamanetworkopen.2020.25197" TargetMode="External"/><Relationship Id="rId122" Type="http://schemas.openxmlformats.org/officeDocument/2006/relationships/hyperlink" Target="https://doi.org/10.1525%2Fsp.2002.49.1.35" TargetMode="External"/><Relationship Id="rId130" Type="http://schemas.openxmlformats.org/officeDocument/2006/relationships/hyperlink" Target="https://doi.org/10.1177/1403494820984702" TargetMode="External"/><Relationship Id="rId135" Type="http://schemas.openxmlformats.org/officeDocument/2006/relationships/hyperlink" Target="https://doi.org/10.1080%2F17441692.2021.1987502" TargetMode="External"/><Relationship Id="rId143" Type="http://schemas.openxmlformats.org/officeDocument/2006/relationships/hyperlink" Target="https://doi.org/10.1038/s41586-020-2521-4" TargetMode="External"/><Relationship Id="rId148" Type="http://schemas.openxmlformats.org/officeDocument/2006/relationships/hyperlink" Target="https://doi.org/10.1080%2F14461242.2019.1601027" TargetMode="External"/><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ature.com/articles/s41599-022-01073-z" TargetMode="External"/><Relationship Id="rId13" Type="http://schemas.openxmlformats.org/officeDocument/2006/relationships/hyperlink" Target="https://www.nature.com/articles/s41599-022-01073-z" TargetMode="External"/><Relationship Id="rId18" Type="http://schemas.openxmlformats.org/officeDocument/2006/relationships/hyperlink" Target="https://www.nature.com/articles/s41599-022-01073-z" TargetMode="External"/><Relationship Id="rId39" Type="http://schemas.openxmlformats.org/officeDocument/2006/relationships/hyperlink" Target="https://www.nature.com/articles/s41599-022-01073-z" TargetMode="External"/><Relationship Id="rId109" Type="http://schemas.openxmlformats.org/officeDocument/2006/relationships/hyperlink" Target="https://doi.org/10.1038/s41591-020-1124-9" TargetMode="External"/><Relationship Id="rId34" Type="http://schemas.openxmlformats.org/officeDocument/2006/relationships/hyperlink" Target="https://www.nature.com/articles/s41599-022-01073-z" TargetMode="External"/><Relationship Id="rId50" Type="http://schemas.openxmlformats.org/officeDocument/2006/relationships/hyperlink" Target="https://www.nature.com/articles/s41599-022-01073-z" TargetMode="External"/><Relationship Id="rId55" Type="http://schemas.openxmlformats.org/officeDocument/2006/relationships/hyperlink" Target="https://www.nature.com/articles/s41599-022-01073-z" TargetMode="External"/><Relationship Id="rId76" Type="http://schemas.openxmlformats.org/officeDocument/2006/relationships/hyperlink" Target="https://doi.org/10.1016/S0140-6736(21)01323-4" TargetMode="External"/><Relationship Id="rId97" Type="http://schemas.openxmlformats.org/officeDocument/2006/relationships/hyperlink" Target="https://www.nature.com/articles/cas-redirect/1:STN:280:DC%2BD2M7psl2quw%3D%3D" TargetMode="External"/><Relationship Id="rId104" Type="http://schemas.openxmlformats.org/officeDocument/2006/relationships/hyperlink" Target="http://scholar.google.com/scholar_lookup?&amp;title=Characteristics%20associated%20with%20racial%2Fethnic%20disparities%20in%20COVID-19%20outcomes%20in%20an%20academic%20health%20care%20system&amp;journal=JAMA%20Network%20Open&amp;doi=10.1001%2Fjamanetworkopen.2020.25197&amp;volume=3&amp;issue=10&amp;pages=e2025197-e2025197&amp;publication_year=2020&amp;author=Gu%2CT&amp;author=Mack%2CJA&amp;author=Salvatore%2CM&amp;author=Prabhu%20Sankar%2CS&amp;author=Valley%2CTS&amp;author=Singh%2CK&amp;author=Nallamothu%2CBK&amp;author=Kheterpal%2CS&amp;author=Lisabeth%2CL&amp;author=Fritsche%2CLG&amp;author=Mukherjee%2CB" TargetMode="External"/><Relationship Id="rId120" Type="http://schemas.openxmlformats.org/officeDocument/2006/relationships/hyperlink" Target="https://doi.org/10.15585/mmwr.mm7005e1" TargetMode="External"/><Relationship Id="rId125" Type="http://schemas.openxmlformats.org/officeDocument/2006/relationships/hyperlink" Target="https://doi.org/10.1056%2FNEJMsa2011686" TargetMode="External"/><Relationship Id="rId141" Type="http://schemas.openxmlformats.org/officeDocument/2006/relationships/hyperlink" Target="http://scholar.google.com/scholar_lookup?&amp;title=The%20diffusion%20of%20innovative%20diabetes%20technologies%20as%20a%20fundamental%20cause%20of%20social%20inequalities%20in%20health.%20The%20Nord%E2%80%90Tr%C3%B8ndelag%20Health%20Study%2C%20Norway&amp;journal=Sociol%20Health%20Illness&amp;doi=10.1111%2F1467-9566.13147&amp;volume=42&amp;issue=7&amp;pages=1548-1565&amp;publication_year=2020&amp;author=Weiss%2CD&amp;author=Sund%2CER&amp;author=Freese%2CJ&amp;author=Krokstad%2CS" TargetMode="External"/><Relationship Id="rId146" Type="http://schemas.openxmlformats.org/officeDocument/2006/relationships/hyperlink" Target="http://www.ncbi.nlm.nih.gov/entrez/query.fcgi?cmd=Retrieve&amp;db=PubMed&amp;dopt=Abstract&amp;list_uids=32640463" TargetMode="External"/><Relationship Id="rId7" Type="http://schemas.openxmlformats.org/officeDocument/2006/relationships/hyperlink" Target="https://www.nature.com/articles/s41599-022-01073-z" TargetMode="External"/><Relationship Id="rId71" Type="http://schemas.openxmlformats.org/officeDocument/2006/relationships/hyperlink" Target="https://doi.org/10.1177%2F1403494818770298" TargetMode="External"/><Relationship Id="rId92" Type="http://schemas.openxmlformats.org/officeDocument/2006/relationships/hyperlink" Target="https://doi.org/10.1177/1403494817705998" TargetMode="External"/><Relationship Id="rId2" Type="http://schemas.openxmlformats.org/officeDocument/2006/relationships/styles" Target="styles.xml"/><Relationship Id="rId29" Type="http://schemas.openxmlformats.org/officeDocument/2006/relationships/hyperlink" Target="https://www.nature.com/articles/s41599-022-01073-z" TargetMode="External"/><Relationship Id="rId24" Type="http://schemas.openxmlformats.org/officeDocument/2006/relationships/image" Target="media/image1.png"/><Relationship Id="rId40" Type="http://schemas.openxmlformats.org/officeDocument/2006/relationships/hyperlink" Target="https://www.nature.com/articles/s41599-022-01073-z" TargetMode="External"/><Relationship Id="rId45" Type="http://schemas.openxmlformats.org/officeDocument/2006/relationships/hyperlink" Target="https://www.nature.com/articles/s41599-022-01073-z" TargetMode="External"/><Relationship Id="rId66" Type="http://schemas.openxmlformats.org/officeDocument/2006/relationships/hyperlink" Target="https://www.nature.com/articles/s41599-022-01073-z" TargetMode="External"/><Relationship Id="rId87" Type="http://schemas.openxmlformats.org/officeDocument/2006/relationships/hyperlink" Target="https://doi.org/10.1257%2Fjep.20.3.97" TargetMode="External"/><Relationship Id="rId110" Type="http://schemas.openxmlformats.org/officeDocument/2006/relationships/hyperlink" Target="https://doi.org/10.1038%2Fs41591-020-1124-9" TargetMode="External"/><Relationship Id="rId115" Type="http://schemas.openxmlformats.org/officeDocument/2006/relationships/hyperlink" Target="http://scholar.google.com/scholar_lookup?&amp;title=Social%20conditions%20as%20fundamental%20causes%20of%20disease&amp;journal=J%20Health%20Soc%20Behav&amp;doi=10.2307%2F2626958&amp;volume=35&amp;pages=80-94&amp;publication_year=1995&amp;author=Link%2CBG&amp;author=Phelan%2CJ" TargetMode="External"/><Relationship Id="rId131" Type="http://schemas.openxmlformats.org/officeDocument/2006/relationships/hyperlink" Target="https://doi.org/10.1177%2F1403494820984702" TargetMode="External"/><Relationship Id="rId136" Type="http://schemas.openxmlformats.org/officeDocument/2006/relationships/hyperlink" Target="http://scholar.google.com/scholar_lookup?&amp;title=COVAX%20and%20the%20rise%20of%20the%20%E2%80%98super%20public%20private%20partnership%E2%80%99%20for%20global%20health&amp;journal=Glob%20Public%20Health&amp;doi=10.1080%2F17441692.2021.1987502&amp;volume=0&amp;issue=0&amp;pages=1-17&amp;publication_year=2021&amp;author=Storeng%2CKT&amp;author=Bengy%20Puyvall%C3%A9e%2CA&amp;author=Stein%2CF" TargetMode="External"/><Relationship Id="rId61" Type="http://schemas.openxmlformats.org/officeDocument/2006/relationships/hyperlink" Target="https://www.nature.com/articles/s41599-022-01073-z" TargetMode="External"/><Relationship Id="rId82" Type="http://schemas.openxmlformats.org/officeDocument/2006/relationships/hyperlink" Target="https://www.washingtonpost.com/health/covid-vaccine-appointment-system-failure/2021/02/04/c7a5c300-6662-11eb-886d-5264d4ceb46d_story.html" TargetMode="External"/><Relationship Id="rId152" Type="http://schemas.openxmlformats.org/officeDocument/2006/relationships/theme" Target="theme/theme1.xml"/><Relationship Id="rId19" Type="http://schemas.openxmlformats.org/officeDocument/2006/relationships/hyperlink" Target="https://www.nature.com/articles/s41599-022-01073-z" TargetMode="External"/><Relationship Id="rId14" Type="http://schemas.openxmlformats.org/officeDocument/2006/relationships/hyperlink" Target="https://www.nature.com/articles/s41599-022-01073-z" TargetMode="External"/><Relationship Id="rId30" Type="http://schemas.openxmlformats.org/officeDocument/2006/relationships/hyperlink" Target="https://www.nature.com/articles/s41599-022-01073-z" TargetMode="External"/><Relationship Id="rId35" Type="http://schemas.openxmlformats.org/officeDocument/2006/relationships/hyperlink" Target="https://www.nature.com/articles/s41599-022-01073-z" TargetMode="External"/><Relationship Id="rId56" Type="http://schemas.openxmlformats.org/officeDocument/2006/relationships/hyperlink" Target="https://www.nature.com/articles/s41599-022-01073-z" TargetMode="External"/><Relationship Id="rId77" Type="http://schemas.openxmlformats.org/officeDocument/2006/relationships/hyperlink" Target="https://doi.org/10.1016%2FS0140-6736%2821%2901323-4" TargetMode="External"/><Relationship Id="rId100" Type="http://schemas.openxmlformats.org/officeDocument/2006/relationships/hyperlink" Target="http://scholar.google.com/scholar_lookup?&amp;title=Technological%20innovation%20and%20inequality%20in%20health&amp;journal=Demography&amp;doi=10.1353%2Fdem.0.0017&amp;volume=45&amp;issue=3&amp;pages=741-761&amp;publication_year=2008&amp;author=Glied%2CS&amp;author=Lleras-Muney%2CA" TargetMode="External"/><Relationship Id="rId105" Type="http://schemas.openxmlformats.org/officeDocument/2006/relationships/hyperlink" Target="https://doi.org/10.1093/shm/17.3.379" TargetMode="External"/><Relationship Id="rId126" Type="http://schemas.openxmlformats.org/officeDocument/2006/relationships/hyperlink" Target="https://www.nature.com/articles/cas-redirect/1:CAS:528:DC%2BB3cXht12rtLrL" TargetMode="External"/><Relationship Id="rId147" Type="http://schemas.openxmlformats.org/officeDocument/2006/relationships/hyperlink" Target="http://scholar.google.com/scholar_lookup?&amp;title=Factors%20associated%20with%20COVID-19-related%20death%20using%20OpenSAFELY&amp;journal=Nature&amp;doi=10.1038%2Fs41586-020-2521-4&amp;volume=584&amp;issue=7821&amp;pages=430-436&amp;publication_year=2020&amp;author=Williamson%2CEJ&amp;author=Walker%2CAJ&amp;author=Bhaskaran%2CK&amp;author=Bacon%2CS&amp;author=Bates%2CC&amp;author=Morton%2CCE&amp;author=Curtis%2CHJ&amp;author=Mehrkar%2CA&amp;author=Evans%2CD&amp;author=Inglesby%2CP&amp;author=Cockburn%2CJ&amp;author=McDonald%2CHI&amp;author=MacKenna%2CB&amp;author=Tomlinson%2CL&amp;author=Douglas%2CIJ&amp;author=Rentsch%2CCT&amp;author=Mathur%2CR&amp;author=Wong%2CAYS&amp;author=Grieve%2CR&amp;author=Goldacre%2CB" TargetMode="External"/><Relationship Id="rId8" Type="http://schemas.openxmlformats.org/officeDocument/2006/relationships/hyperlink" Target="https://www.nature.com/articles/s41599-022-01073-z" TargetMode="External"/><Relationship Id="rId51" Type="http://schemas.openxmlformats.org/officeDocument/2006/relationships/hyperlink" Target="https://www.nature.com/articles/s41599-022-01073-z/figures/2" TargetMode="External"/><Relationship Id="rId72" Type="http://schemas.openxmlformats.org/officeDocument/2006/relationships/hyperlink" Target="http://www.ncbi.nlm.nih.gov/entrez/query.fcgi?cmd=Retrieve&amp;db=PubMed&amp;dopt=Abstract&amp;list_uids=29741455" TargetMode="External"/><Relationship Id="rId93" Type="http://schemas.openxmlformats.org/officeDocument/2006/relationships/hyperlink" Target="https://doi.org/10.1177%2F1403494817705998" TargetMode="External"/><Relationship Id="rId98" Type="http://schemas.openxmlformats.org/officeDocument/2006/relationships/hyperlink" Target="http://scholar.google.com/scholar_lookup?&amp;title=Trends%20in%20smoking%20behaviour%20between%201985%20and%202000%20in%20nine%20European%20countries%20by%20education&amp;journal=J%20Epidemiol%20Commun%20Health&amp;doi=10.1136%2Fjech.2004.025684&amp;volume=59&amp;issue=5&amp;pages=395-401&amp;publication_year=2005&amp;author=Giskes%2CK&amp;author=Kunst%2CAE&amp;author=Benach%2CJ&amp;author=Borrell%2CC&amp;author=Costa%2CG&amp;author=Dahl%2CE&amp;author=Dalstra%2CJA&amp;author=Federico%2CB&amp;author=Helmert%2CU&amp;author=Judge%2CK" TargetMode="External"/><Relationship Id="rId121" Type="http://schemas.openxmlformats.org/officeDocument/2006/relationships/hyperlink" Target="https://doi.org/10.1525/sp.2002.49.1.35" TargetMode="External"/><Relationship Id="rId142" Type="http://schemas.openxmlformats.org/officeDocument/2006/relationships/hyperlink" Target="https://covid19.who.int/"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9851</Words>
  <Characters>56151</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2022-11-25T18:25:00Z</dcterms:created>
  <dcterms:modified xsi:type="dcterms:W3CDTF">2022-11-25T18:25:00Z</dcterms:modified>
</cp:coreProperties>
</file>